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1619" w14:textId="2B702A14" w:rsidR="00CD0D57" w:rsidRPr="00947C46" w:rsidRDefault="00947C46">
      <w:pPr>
        <w:pStyle w:val="BodyText"/>
        <w:spacing w:line="20" w:lineRule="exact"/>
        <w:ind w:left="104"/>
        <w:rPr>
          <w:color w:val="000000" w:themeColor="text1"/>
          <w:sz w:val="2"/>
        </w:rPr>
      </w:pPr>
      <w:r>
        <w:rPr>
          <w:noProof/>
          <w:sz w:val="2"/>
        </w:rPr>
        <mc:AlternateContent>
          <mc:Choice Requires="wpg">
            <w:drawing>
              <wp:inline distT="0" distB="0" distL="0" distR="0" wp14:anchorId="04FFE413" wp14:editId="0A2FCB94">
                <wp:extent cx="6764020" cy="12700"/>
                <wp:effectExtent l="0" t="0" r="5080" b="0"/>
                <wp:docPr id="19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196" name="Line 125"/>
                        <wps:cNvCnPr>
                          <a:cxnSpLocks/>
                        </wps:cNvCnPr>
                        <wps:spPr bwMode="auto">
                          <a:xfrm>
                            <a:off x="0" y="10"/>
                            <a:ext cx="10651" cy="0"/>
                          </a:xfrm>
                          <a:prstGeom prst="line">
                            <a:avLst/>
                          </a:prstGeom>
                          <a:noFill/>
                          <a:ln w="12700">
                            <a:solidFill>
                              <a:srgbClr val="850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69EF93" id="Group 124" o:spid="_x0000_s1026" style="width:532.6pt;height:1pt;mso-position-horizontal-relative:char;mso-position-vertical-relative:line"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">
                <v:line id="Line 125" o:spid="_x0000_s1027" style="position:absolute;visibility:visible;mso-wrap-style:square" from="0,10" to="10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" strokecolor="#850e1f" strokeweight="1pt">
                  <o:lock v:ext="edit" shapetype="f"/>
                </v:line>
                <w10:anchorlock/>
              </v:group>
            </w:pict>
          </mc:Fallback>
        </mc:AlternateContent>
      </w:r>
    </w:p>
    <w:p w14:paraId="61738456" w14:textId="38A0672C" w:rsidR="00CD0D57" w:rsidRPr="00947C46" w:rsidRDefault="00CD0D57">
      <w:pPr>
        <w:pStyle w:val="BodyText"/>
        <w:spacing w:before="7"/>
        <w:ind w:left="0"/>
        <w:rPr>
          <w:color w:val="000000" w:themeColor="text1"/>
          <w:sz w:val="7"/>
        </w:rPr>
      </w:pPr>
    </w:p>
    <w:p w14:paraId="0BB236DB" w14:textId="77777777" w:rsidR="00362BD4" w:rsidRDefault="00362BD4">
      <w:pPr>
        <w:spacing w:before="88"/>
        <w:ind w:left="2698" w:right="2807"/>
        <w:jc w:val="center"/>
        <w:rPr>
          <w:b/>
          <w:color w:val="000000" w:themeColor="text1"/>
          <w:spacing w:val="-2"/>
          <w:sz w:val="28"/>
        </w:rPr>
        <w:sectPr w:rsidR="00362BD4">
          <w:footerReference w:type="even" r:id="rId7"/>
          <w:footerReference w:type="default" r:id="rId8"/>
          <w:pgSz w:w="12240" w:h="15840"/>
          <w:pgMar w:top="800" w:right="680" w:bottom="560" w:left="680" w:header="328" w:footer="361" w:gutter="0"/>
          <w:cols w:num="2" w:space="720" w:equalWidth="0">
            <w:col w:w="5310" w:space="195"/>
            <w:col w:w="5375"/>
          </w:cols>
        </w:sectPr>
      </w:pPr>
    </w:p>
    <w:p w14:paraId="27A8CD7B" w14:textId="0FB14C8E" w:rsidR="00CD0D57" w:rsidRPr="00947C46" w:rsidRDefault="00F04652">
      <w:pPr>
        <w:spacing w:before="88"/>
        <w:ind w:left="2698" w:right="2807"/>
        <w:jc w:val="center"/>
        <w:rPr>
          <w:b/>
          <w:color w:val="000000" w:themeColor="text1"/>
          <w:sz w:val="28"/>
        </w:rPr>
      </w:pPr>
      <w:r>
        <w:rPr>
          <w:b/>
          <w:noProof/>
          <w:color w:val="000000" w:themeColor="text1"/>
          <w:spacing w:val="-2"/>
          <w:sz w:val="28"/>
        </w:rPr>
        <w:drawing>
          <wp:anchor distT="0" distB="0" distL="114300" distR="114300" simplePos="0" relativeHeight="487600640" behindDoc="0" locked="0" layoutInCell="1" allowOverlap="1" wp14:anchorId="0B5FF454" wp14:editId="31D6B94B">
            <wp:simplePos x="0" y="0"/>
            <wp:positionH relativeFrom="column">
              <wp:posOffset>6116320</wp:posOffset>
            </wp:positionH>
            <wp:positionV relativeFrom="paragraph">
              <wp:posOffset>54737</wp:posOffset>
            </wp:positionV>
            <wp:extent cx="713105" cy="1138555"/>
            <wp:effectExtent l="0" t="0" r="0" b="4445"/>
            <wp:wrapSquare wrapText="bothSides"/>
            <wp:docPr id="204" name="Picture 204"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Graphical user interface, application&#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3105" cy="1138555"/>
                    </a:xfrm>
                    <a:prstGeom prst="rect">
                      <a:avLst/>
                    </a:prstGeom>
                  </pic:spPr>
                </pic:pic>
              </a:graphicData>
            </a:graphic>
            <wp14:sizeRelH relativeFrom="page">
              <wp14:pctWidth>0</wp14:pctWidth>
            </wp14:sizeRelH>
            <wp14:sizeRelV relativeFrom="page">
              <wp14:pctHeight>0</wp14:pctHeight>
            </wp14:sizeRelV>
          </wp:anchor>
        </w:drawing>
      </w:r>
      <w:r>
        <w:rPr>
          <w:b/>
          <w:noProof/>
          <w:color w:val="000000" w:themeColor="text1"/>
          <w:spacing w:val="-2"/>
          <w:sz w:val="28"/>
        </w:rPr>
        <w:drawing>
          <wp:anchor distT="0" distB="0" distL="114300" distR="114300" simplePos="0" relativeHeight="487598592" behindDoc="0" locked="0" layoutInCell="1" allowOverlap="1" wp14:anchorId="36330E6A" wp14:editId="197EBE77">
            <wp:simplePos x="0" y="0"/>
            <wp:positionH relativeFrom="column">
              <wp:posOffset>61595</wp:posOffset>
            </wp:positionH>
            <wp:positionV relativeFrom="paragraph">
              <wp:posOffset>57277</wp:posOffset>
            </wp:positionV>
            <wp:extent cx="713105" cy="1138555"/>
            <wp:effectExtent l="0" t="0" r="0" b="4445"/>
            <wp:wrapSquare wrapText="bothSides"/>
            <wp:docPr id="203" name="Picture 203"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Graphical user interface, application&#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3105" cy="1138555"/>
                    </a:xfrm>
                    <a:prstGeom prst="rect">
                      <a:avLst/>
                    </a:prstGeom>
                  </pic:spPr>
                </pic:pic>
              </a:graphicData>
            </a:graphic>
            <wp14:sizeRelH relativeFrom="page">
              <wp14:pctWidth>0</wp14:pctWidth>
            </wp14:sizeRelH>
            <wp14:sizeRelV relativeFrom="page">
              <wp14:pctHeight>0</wp14:pctHeight>
            </wp14:sizeRelV>
          </wp:anchor>
        </w:drawing>
      </w:r>
      <w:r w:rsidR="00560648" w:rsidRPr="00947C46">
        <w:rPr>
          <w:b/>
          <w:color w:val="000000" w:themeColor="text1"/>
          <w:spacing w:val="-2"/>
          <w:sz w:val="28"/>
        </w:rPr>
        <w:t xml:space="preserve">Journal of </w:t>
      </w:r>
      <w:r>
        <w:rPr>
          <w:b/>
          <w:color w:val="000000" w:themeColor="text1"/>
          <w:spacing w:val="-2"/>
          <w:sz w:val="28"/>
        </w:rPr>
        <w:t>Economics and Business Letters</w:t>
      </w:r>
    </w:p>
    <w:p w14:paraId="0F058132" w14:textId="77777777" w:rsidR="00362BD4" w:rsidRDefault="00362BD4" w:rsidP="00560648">
      <w:pPr>
        <w:spacing w:before="220"/>
        <w:ind w:right="2805"/>
        <w:rPr>
          <w:color w:val="000000" w:themeColor="text1"/>
          <w:sz w:val="24"/>
        </w:rPr>
        <w:sectPr w:rsidR="00362BD4" w:rsidSect="00362BD4">
          <w:type w:val="continuous"/>
          <w:pgSz w:w="12240" w:h="15840"/>
          <w:pgMar w:top="800" w:right="680" w:bottom="560" w:left="680" w:header="328" w:footer="361" w:gutter="0"/>
          <w:cols w:space="195"/>
        </w:sectPr>
      </w:pPr>
    </w:p>
    <w:p w14:paraId="11DFB34A" w14:textId="43482188" w:rsidR="00CD0D57" w:rsidRPr="00947C46" w:rsidRDefault="00CD0D57" w:rsidP="00560648">
      <w:pPr>
        <w:spacing w:before="220"/>
        <w:ind w:right="2805"/>
        <w:rPr>
          <w:color w:val="000000" w:themeColor="text1"/>
          <w:sz w:val="24"/>
        </w:rPr>
      </w:pPr>
    </w:p>
    <w:p w14:paraId="4DEDDBEC" w14:textId="70CB3704" w:rsidR="00CD0D57" w:rsidRPr="00947C46" w:rsidRDefault="009247FF">
      <w:pPr>
        <w:spacing w:before="231"/>
        <w:ind w:left="2700" w:right="2804"/>
        <w:jc w:val="center"/>
        <w:rPr>
          <w:color w:val="000000" w:themeColor="text1"/>
          <w:sz w:val="24"/>
        </w:rPr>
      </w:pPr>
      <w:r w:rsidRPr="00947C46">
        <w:rPr>
          <w:color w:val="000000" w:themeColor="text1"/>
          <w:sz w:val="24"/>
        </w:rPr>
        <w:t>available</w:t>
      </w:r>
      <w:r w:rsidRPr="00947C46">
        <w:rPr>
          <w:color w:val="000000" w:themeColor="text1"/>
          <w:spacing w:val="-5"/>
          <w:sz w:val="24"/>
        </w:rPr>
        <w:t xml:space="preserve"> </w:t>
      </w:r>
      <w:r w:rsidRPr="00947C46">
        <w:rPr>
          <w:color w:val="000000" w:themeColor="text1"/>
          <w:sz w:val="24"/>
        </w:rPr>
        <w:t>at</w:t>
      </w:r>
      <w:r w:rsidRPr="00947C46">
        <w:rPr>
          <w:color w:val="000000" w:themeColor="text1"/>
          <w:spacing w:val="-4"/>
          <w:sz w:val="24"/>
        </w:rPr>
        <w:t xml:space="preserve"> </w:t>
      </w:r>
      <w:r w:rsidRPr="00947C46">
        <w:rPr>
          <w:color w:val="000000" w:themeColor="text1"/>
          <w:sz w:val="24"/>
        </w:rPr>
        <w:t>http:</w:t>
      </w:r>
      <w:r w:rsidRPr="00947C46">
        <w:rPr>
          <w:color w:val="000000" w:themeColor="text1"/>
          <w:spacing w:val="-4"/>
          <w:sz w:val="24"/>
        </w:rPr>
        <w:t xml:space="preserve"> </w:t>
      </w:r>
      <w:r w:rsidR="00560648" w:rsidRPr="00947C46">
        <w:rPr>
          <w:color w:val="000000" w:themeColor="text1"/>
        </w:rPr>
        <w:t>www.privietlab.org</w:t>
      </w:r>
    </w:p>
    <w:p w14:paraId="391AD5DC" w14:textId="77777777" w:rsidR="00CD0D57" w:rsidRPr="00947C46" w:rsidRDefault="00CD0D57">
      <w:pPr>
        <w:pStyle w:val="BodyText"/>
        <w:spacing w:before="5"/>
        <w:ind w:left="0"/>
        <w:rPr>
          <w:color w:val="000000" w:themeColor="text1"/>
          <w:sz w:val="21"/>
        </w:rPr>
      </w:pPr>
    </w:p>
    <w:p w14:paraId="7CDE323C" w14:textId="77777777" w:rsidR="00362BD4" w:rsidRDefault="00F04652">
      <w:pPr>
        <w:ind w:left="2700" w:right="2807"/>
        <w:jc w:val="center"/>
        <w:rPr>
          <w:b/>
          <w:color w:val="000000" w:themeColor="text1"/>
          <w:spacing w:val="-1"/>
          <w:sz w:val="18"/>
        </w:rPr>
        <w:sectPr w:rsidR="00362BD4" w:rsidSect="00362BD4">
          <w:type w:val="continuous"/>
          <w:pgSz w:w="12240" w:h="15840"/>
          <w:pgMar w:top="800" w:right="680" w:bottom="560" w:left="680" w:header="328" w:footer="361" w:gutter="0"/>
          <w:cols w:space="720"/>
        </w:sectPr>
      </w:pPr>
      <w:r w:rsidRPr="00F04652">
        <w:rPr>
          <w:b/>
          <w:color w:val="000000" w:themeColor="text1"/>
          <w:spacing w:val="-1"/>
          <w:sz w:val="18"/>
        </w:rPr>
        <w:t xml:space="preserve">Journal of </w:t>
      </w:r>
    </w:p>
    <w:p w14:paraId="733A1471" w14:textId="77777777" w:rsidR="00362BD4" w:rsidRDefault="00F04652">
      <w:pPr>
        <w:ind w:left="2700" w:right="2807"/>
        <w:jc w:val="center"/>
        <w:rPr>
          <w:b/>
          <w:color w:val="000000" w:themeColor="text1"/>
          <w:sz w:val="18"/>
        </w:rPr>
        <w:sectPr w:rsidR="00362BD4" w:rsidSect="00362BD4">
          <w:type w:val="continuous"/>
          <w:pgSz w:w="12240" w:h="15840"/>
          <w:pgMar w:top="800" w:right="680" w:bottom="560" w:left="680" w:header="328" w:footer="361" w:gutter="0"/>
          <w:cols w:space="720"/>
        </w:sectPr>
      </w:pPr>
      <w:r w:rsidRPr="00F04652">
        <w:rPr>
          <w:b/>
          <w:color w:val="000000" w:themeColor="text1"/>
          <w:spacing w:val="-1"/>
          <w:sz w:val="18"/>
        </w:rPr>
        <w:t>Economics and Business Letters</w:t>
      </w:r>
      <w:r w:rsidR="009247FF" w:rsidRPr="00947C46">
        <w:rPr>
          <w:b/>
          <w:color w:val="000000" w:themeColor="text1"/>
          <w:spacing w:val="-1"/>
          <w:sz w:val="18"/>
        </w:rPr>
        <w:t>,</w:t>
      </w:r>
      <w:r w:rsidR="009247FF" w:rsidRPr="00947C46">
        <w:rPr>
          <w:b/>
          <w:color w:val="000000" w:themeColor="text1"/>
          <w:spacing w:val="-10"/>
          <w:sz w:val="18"/>
        </w:rPr>
        <w:t xml:space="preserve"> </w:t>
      </w:r>
      <w:r w:rsidR="009247FF" w:rsidRPr="00947C46">
        <w:rPr>
          <w:b/>
          <w:color w:val="000000" w:themeColor="text1"/>
          <w:spacing w:val="-1"/>
          <w:sz w:val="18"/>
        </w:rPr>
        <w:t>202</w:t>
      </w:r>
      <w:r w:rsidR="000F52E0">
        <w:rPr>
          <w:b/>
          <w:color w:val="000000" w:themeColor="text1"/>
          <w:spacing w:val="-1"/>
          <w:sz w:val="18"/>
        </w:rPr>
        <w:t>4</w:t>
      </w:r>
      <w:r w:rsidR="009247FF" w:rsidRPr="00947C46">
        <w:rPr>
          <w:b/>
          <w:color w:val="000000" w:themeColor="text1"/>
          <w:spacing w:val="-1"/>
          <w:sz w:val="18"/>
        </w:rPr>
        <w:t>,</w:t>
      </w:r>
      <w:r w:rsidR="009247FF" w:rsidRPr="00947C46">
        <w:rPr>
          <w:b/>
          <w:color w:val="000000" w:themeColor="text1"/>
          <w:spacing w:val="-10"/>
          <w:sz w:val="18"/>
        </w:rPr>
        <w:t xml:space="preserve"> </w:t>
      </w:r>
      <w:r w:rsidR="009247FF" w:rsidRPr="00947C46">
        <w:rPr>
          <w:b/>
          <w:color w:val="000000" w:themeColor="text1"/>
          <w:spacing w:val="-1"/>
          <w:sz w:val="18"/>
        </w:rPr>
        <w:t>1(</w:t>
      </w:r>
      <w:r w:rsidR="00560648" w:rsidRPr="00947C46">
        <w:rPr>
          <w:b/>
          <w:color w:val="000000" w:themeColor="text1"/>
          <w:spacing w:val="-1"/>
          <w:sz w:val="18"/>
        </w:rPr>
        <w:t>1</w:t>
      </w:r>
      <w:r w:rsidR="009247FF" w:rsidRPr="00947C46">
        <w:rPr>
          <w:b/>
          <w:color w:val="000000" w:themeColor="text1"/>
          <w:spacing w:val="-1"/>
          <w:sz w:val="18"/>
        </w:rPr>
        <w:t>),</w:t>
      </w:r>
      <w:r w:rsidR="009247FF" w:rsidRPr="00947C46">
        <w:rPr>
          <w:b/>
          <w:color w:val="000000" w:themeColor="text1"/>
          <w:spacing w:val="-10"/>
          <w:sz w:val="18"/>
        </w:rPr>
        <w:t xml:space="preserve"> </w:t>
      </w:r>
      <w:r w:rsidR="009247FF" w:rsidRPr="00947C46">
        <w:rPr>
          <w:b/>
          <w:color w:val="000000" w:themeColor="text1"/>
          <w:sz w:val="18"/>
        </w:rPr>
        <w:t>1-12</w:t>
      </w:r>
    </w:p>
    <w:p w14:paraId="613A1130" w14:textId="77777777" w:rsidR="00362BD4" w:rsidRDefault="00362BD4">
      <w:pPr>
        <w:ind w:left="2700" w:right="2807"/>
        <w:jc w:val="center"/>
        <w:rPr>
          <w:b/>
          <w:color w:val="000000" w:themeColor="text1"/>
          <w:sz w:val="18"/>
        </w:rPr>
        <w:sectPr w:rsidR="00362BD4" w:rsidSect="00362BD4">
          <w:type w:val="continuous"/>
          <w:pgSz w:w="12240" w:h="15840"/>
          <w:pgMar w:top="800" w:right="680" w:bottom="560" w:left="680" w:header="328" w:footer="361" w:gutter="0"/>
          <w:cols w:num="2" w:space="720" w:equalWidth="0">
            <w:col w:w="5310" w:space="195"/>
            <w:col w:w="5375"/>
          </w:cols>
        </w:sectPr>
      </w:pPr>
    </w:p>
    <w:p w14:paraId="558B2CB1" w14:textId="0A2F7A84" w:rsidR="00CD0D57" w:rsidRPr="00947C46" w:rsidRDefault="00CD0D57">
      <w:pPr>
        <w:ind w:left="2700" w:right="2807"/>
        <w:jc w:val="center"/>
        <w:rPr>
          <w:b/>
          <w:color w:val="000000" w:themeColor="text1"/>
          <w:sz w:val="18"/>
        </w:rPr>
      </w:pPr>
    </w:p>
    <w:p w14:paraId="573E5EFC" w14:textId="77777777" w:rsidR="00CD0D57" w:rsidRPr="00947C46" w:rsidRDefault="00947C46">
      <w:pPr>
        <w:pStyle w:val="BodyText"/>
        <w:spacing w:before="4"/>
        <w:ind w:left="0"/>
        <w:rPr>
          <w:b/>
          <w:color w:val="000000" w:themeColor="text1"/>
        </w:rPr>
      </w:pPr>
      <w:r>
        <w:rPr>
          <w:noProof/>
        </w:rPr>
        <mc:AlternateContent>
          <mc:Choice Requires="wps">
            <w:drawing>
              <wp:anchor distT="0" distB="0" distL="0" distR="0" simplePos="0" relativeHeight="487588352" behindDoc="1" locked="0" layoutInCell="1" allowOverlap="1" wp14:anchorId="29C6A8CC" wp14:editId="433A1DCB">
                <wp:simplePos x="0" y="0"/>
                <wp:positionH relativeFrom="page">
                  <wp:posOffset>504190</wp:posOffset>
                </wp:positionH>
                <wp:positionV relativeFrom="paragraph">
                  <wp:posOffset>179705</wp:posOffset>
                </wp:positionV>
                <wp:extent cx="6764020" cy="1270"/>
                <wp:effectExtent l="0" t="0" r="17780" b="11430"/>
                <wp:wrapTopAndBottom/>
                <wp:docPr id="194"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1270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8B432" id="Freeform 123" o:spid="_x0000_s1026" style="position:absolute;margin-left:39.7pt;margin-top:14.15pt;width:532.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" path="m,l10652,e" filled="f" strokecolor="#850e1f" strokeweight="1pt">
                <v:path arrowok="t" o:connecttype="custom" o:connectlocs="0,0;2147483646,0" o:connectangles="0,0"/>
                <w10:wrap type="topAndBottom" anchorx="page"/>
              </v:shape>
            </w:pict>
          </mc:Fallback>
        </mc:AlternateContent>
      </w:r>
    </w:p>
    <w:p w14:paraId="59B4091D" w14:textId="77777777" w:rsidR="00362BD4" w:rsidRDefault="00362BD4">
      <w:pPr>
        <w:pStyle w:val="BodyText"/>
        <w:spacing w:before="7"/>
        <w:ind w:left="0"/>
        <w:rPr>
          <w:b/>
          <w:color w:val="000000" w:themeColor="text1"/>
          <w:sz w:val="24"/>
        </w:rPr>
        <w:sectPr w:rsidR="00362BD4" w:rsidSect="00362BD4">
          <w:type w:val="continuous"/>
          <w:pgSz w:w="12240" w:h="15840"/>
          <w:pgMar w:top="800" w:right="680" w:bottom="560" w:left="680" w:header="328" w:footer="361" w:gutter="0"/>
          <w:cols w:num="2" w:space="720" w:equalWidth="0">
            <w:col w:w="5310" w:space="195"/>
            <w:col w:w="5375"/>
          </w:cols>
        </w:sectPr>
      </w:pPr>
    </w:p>
    <w:p w14:paraId="0ECEDDD7" w14:textId="77777777" w:rsidR="00CD0D57" w:rsidRPr="00947C46" w:rsidRDefault="00CD0D57">
      <w:pPr>
        <w:pStyle w:val="BodyText"/>
        <w:spacing w:before="7"/>
        <w:ind w:left="0"/>
        <w:rPr>
          <w:b/>
          <w:color w:val="000000" w:themeColor="text1"/>
          <w:sz w:val="24"/>
        </w:rPr>
      </w:pPr>
    </w:p>
    <w:p w14:paraId="02852100" w14:textId="5A5BA135" w:rsidR="009759EE" w:rsidRPr="009759EE" w:rsidRDefault="004A6E98" w:rsidP="009759EE">
      <w:pPr>
        <w:pStyle w:val="BodyText"/>
        <w:spacing w:before="7"/>
        <w:rPr>
          <w:b/>
          <w:bCs/>
          <w:color w:val="000000" w:themeColor="text1"/>
          <w:sz w:val="38"/>
          <w:szCs w:val="38"/>
        </w:rPr>
      </w:pPr>
      <w:r>
        <w:rPr>
          <w:b/>
          <w:bCs/>
          <w:color w:val="000000" w:themeColor="text1"/>
          <w:sz w:val="38"/>
          <w:szCs w:val="38"/>
        </w:rPr>
        <w:t xml:space="preserve">Islamic Microfinance: </w:t>
      </w:r>
      <w:r w:rsidRPr="004A6E98">
        <w:rPr>
          <w:b/>
          <w:bCs/>
          <w:color w:val="000000" w:themeColor="text1"/>
          <w:sz w:val="38"/>
          <w:szCs w:val="38"/>
        </w:rPr>
        <w:t>A Review of the Emerging Agricultural Market in the ASEAN Market</w:t>
      </w:r>
    </w:p>
    <w:p w14:paraId="63AFFC1C" w14:textId="1B6591B1" w:rsidR="00CD0D57" w:rsidRPr="00947C46" w:rsidRDefault="00CD0D57">
      <w:pPr>
        <w:pStyle w:val="BodyText"/>
        <w:spacing w:before="7"/>
        <w:ind w:left="0"/>
        <w:rPr>
          <w:b/>
          <w:color w:val="000000" w:themeColor="text1"/>
          <w:sz w:val="45"/>
        </w:rPr>
      </w:pPr>
    </w:p>
    <w:p w14:paraId="7167A0C6" w14:textId="2F60903A" w:rsidR="00CD0D57" w:rsidRPr="00D254F3" w:rsidRDefault="004A6E98">
      <w:pPr>
        <w:pStyle w:val="Heading1"/>
        <w:ind w:firstLine="0"/>
        <w:rPr>
          <w:color w:val="000000" w:themeColor="text1"/>
        </w:rPr>
      </w:pPr>
      <w:proofErr w:type="spellStart"/>
      <w:r>
        <w:rPr>
          <w:color w:val="000000" w:themeColor="text1"/>
          <w:w w:val="95"/>
        </w:rPr>
        <w:t>Dimvy</w:t>
      </w:r>
      <w:proofErr w:type="spellEnd"/>
      <w:r>
        <w:rPr>
          <w:color w:val="000000" w:themeColor="text1"/>
          <w:w w:val="95"/>
        </w:rPr>
        <w:t xml:space="preserve"> </w:t>
      </w:r>
      <w:proofErr w:type="spellStart"/>
      <w:r>
        <w:rPr>
          <w:color w:val="000000" w:themeColor="text1"/>
          <w:w w:val="95"/>
        </w:rPr>
        <w:t>Rusefani</w:t>
      </w:r>
      <w:proofErr w:type="spellEnd"/>
      <w:r>
        <w:rPr>
          <w:color w:val="000000" w:themeColor="text1"/>
          <w:w w:val="95"/>
        </w:rPr>
        <w:t xml:space="preserve"> </w:t>
      </w:r>
      <w:proofErr w:type="spellStart"/>
      <w:r>
        <w:rPr>
          <w:color w:val="000000" w:themeColor="text1"/>
          <w:w w:val="95"/>
        </w:rPr>
        <w:t>Asetya</w:t>
      </w:r>
      <w:proofErr w:type="spellEnd"/>
    </w:p>
    <w:p w14:paraId="2F8FCDA2" w14:textId="77777777" w:rsidR="00CD0D57" w:rsidRPr="00947C46" w:rsidRDefault="00CD0D57">
      <w:pPr>
        <w:pStyle w:val="BodyText"/>
        <w:spacing w:before="1"/>
        <w:ind w:left="0"/>
        <w:rPr>
          <w:b/>
          <w:color w:val="000000" w:themeColor="text1"/>
          <w:sz w:val="23"/>
        </w:rPr>
      </w:pPr>
    </w:p>
    <w:p w14:paraId="7491CF1A" w14:textId="4B3E336F" w:rsidR="009759EE" w:rsidRPr="009759EE" w:rsidRDefault="0057029A">
      <w:pPr>
        <w:pStyle w:val="BodyText"/>
        <w:spacing w:before="10"/>
        <w:rPr>
          <w:color w:val="000000" w:themeColor="text1"/>
        </w:rPr>
      </w:pPr>
      <w:r>
        <w:rPr>
          <w:color w:val="000000" w:themeColor="text1"/>
        </w:rPr>
        <w:t>Agriculture</w:t>
      </w:r>
      <w:r w:rsidR="009759EE" w:rsidRPr="009759EE">
        <w:rPr>
          <w:color w:val="000000" w:themeColor="text1"/>
        </w:rPr>
        <w:t xml:space="preserve"> Department, </w:t>
      </w:r>
      <w:proofErr w:type="spellStart"/>
      <w:r>
        <w:rPr>
          <w:color w:val="000000" w:themeColor="text1"/>
        </w:rPr>
        <w:t>Jember</w:t>
      </w:r>
      <w:proofErr w:type="spellEnd"/>
      <w:r>
        <w:rPr>
          <w:color w:val="000000" w:themeColor="text1"/>
        </w:rPr>
        <w:t xml:space="preserve"> University</w:t>
      </w:r>
      <w:r w:rsidR="009759EE" w:rsidRPr="009759EE">
        <w:rPr>
          <w:color w:val="000000" w:themeColor="text1"/>
        </w:rPr>
        <w:t xml:space="preserve">, </w:t>
      </w:r>
      <w:proofErr w:type="spellStart"/>
      <w:r>
        <w:rPr>
          <w:color w:val="000000" w:themeColor="text1"/>
        </w:rPr>
        <w:t>Jember</w:t>
      </w:r>
      <w:proofErr w:type="spellEnd"/>
      <w:r w:rsidR="009759EE" w:rsidRPr="009759EE">
        <w:rPr>
          <w:color w:val="000000" w:themeColor="text1"/>
        </w:rPr>
        <w:t xml:space="preserve"> </w:t>
      </w:r>
      <w:r>
        <w:rPr>
          <w:color w:val="000000" w:themeColor="text1"/>
        </w:rPr>
        <w:t>68121</w:t>
      </w:r>
      <w:r w:rsidR="009759EE" w:rsidRPr="009759EE">
        <w:rPr>
          <w:color w:val="000000" w:themeColor="text1"/>
        </w:rPr>
        <w:t>, Indonesia</w:t>
      </w:r>
    </w:p>
    <w:p w14:paraId="6C521340" w14:textId="6E34D6AD" w:rsidR="00CD0D57" w:rsidRPr="00947C46" w:rsidRDefault="003B2785">
      <w:pPr>
        <w:pStyle w:val="BodyText"/>
        <w:spacing w:before="10"/>
        <w:rPr>
          <w:color w:val="000000" w:themeColor="text1"/>
        </w:rPr>
      </w:pPr>
      <w:r>
        <w:rPr>
          <w:color w:val="000000" w:themeColor="text1"/>
        </w:rPr>
        <w:t>Corresponding author</w:t>
      </w:r>
      <w:r w:rsidR="009759EE">
        <w:rPr>
          <w:color w:val="000000" w:themeColor="text1"/>
        </w:rPr>
        <w:t xml:space="preserve">: </w:t>
      </w:r>
      <w:r w:rsidR="0057029A">
        <w:rPr>
          <w:color w:val="000000" w:themeColor="text1"/>
        </w:rPr>
        <w:t>Dimvyrusefani16@gmail.com</w:t>
      </w:r>
    </w:p>
    <w:p w14:paraId="23B97636" w14:textId="77777777" w:rsidR="00CD0D57" w:rsidRPr="00947C46" w:rsidRDefault="00CD0D57">
      <w:pPr>
        <w:pStyle w:val="BodyText"/>
        <w:spacing w:before="7"/>
        <w:ind w:left="0"/>
        <w:rPr>
          <w:color w:val="000000" w:themeColor="text1"/>
          <w:sz w:val="21"/>
        </w:rPr>
      </w:pPr>
    </w:p>
    <w:p w14:paraId="1CF8C81E" w14:textId="71F40EAB" w:rsidR="00CD0D57" w:rsidRPr="00947C46" w:rsidRDefault="009247FF">
      <w:pPr>
        <w:tabs>
          <w:tab w:val="left" w:pos="4532"/>
          <w:tab w:val="left" w:pos="7655"/>
        </w:tabs>
        <w:ind w:left="114"/>
        <w:rPr>
          <w:color w:val="000000" w:themeColor="text1"/>
          <w:sz w:val="18"/>
        </w:rPr>
      </w:pPr>
      <w:r w:rsidRPr="00947C46">
        <w:rPr>
          <w:b/>
          <w:color w:val="000000" w:themeColor="text1"/>
          <w:sz w:val="18"/>
        </w:rPr>
        <w:t>Received:</w:t>
      </w:r>
      <w:r w:rsidRPr="00947C46">
        <w:rPr>
          <w:b/>
          <w:color w:val="000000" w:themeColor="text1"/>
          <w:spacing w:val="-3"/>
          <w:sz w:val="18"/>
        </w:rPr>
        <w:t xml:space="preserve"> </w:t>
      </w:r>
      <w:r w:rsidR="0057029A">
        <w:rPr>
          <w:color w:val="000000" w:themeColor="text1"/>
          <w:sz w:val="18"/>
        </w:rPr>
        <w:t>-</w:t>
      </w:r>
      <w:r w:rsidRPr="00947C46">
        <w:rPr>
          <w:color w:val="000000" w:themeColor="text1"/>
          <w:sz w:val="18"/>
        </w:rPr>
        <w:tab/>
      </w:r>
      <w:r w:rsidRPr="00947C46">
        <w:rPr>
          <w:b/>
          <w:color w:val="000000" w:themeColor="text1"/>
          <w:spacing w:val="-1"/>
          <w:sz w:val="18"/>
        </w:rPr>
        <w:t>Accepted:</w:t>
      </w:r>
      <w:r w:rsidRPr="00947C46">
        <w:rPr>
          <w:b/>
          <w:color w:val="000000" w:themeColor="text1"/>
          <w:spacing w:val="-2"/>
          <w:sz w:val="18"/>
        </w:rPr>
        <w:t xml:space="preserve"> </w:t>
      </w:r>
      <w:r w:rsidR="0057029A">
        <w:rPr>
          <w:color w:val="000000" w:themeColor="text1"/>
          <w:sz w:val="18"/>
        </w:rPr>
        <w:t>-</w:t>
      </w:r>
      <w:r w:rsidRPr="00947C46">
        <w:rPr>
          <w:color w:val="000000" w:themeColor="text1"/>
          <w:sz w:val="18"/>
        </w:rPr>
        <w:tab/>
      </w:r>
      <w:r w:rsidRPr="00947C46">
        <w:rPr>
          <w:b/>
          <w:color w:val="000000" w:themeColor="text1"/>
          <w:sz w:val="18"/>
        </w:rPr>
        <w:t>DOI:</w:t>
      </w:r>
      <w:r w:rsidRPr="00947C46">
        <w:rPr>
          <w:b/>
          <w:color w:val="000000" w:themeColor="text1"/>
          <w:spacing w:val="-6"/>
          <w:sz w:val="18"/>
        </w:rPr>
        <w:t xml:space="preserve"> </w:t>
      </w:r>
      <w:r w:rsidR="0057029A">
        <w:rPr>
          <w:color w:val="000000" w:themeColor="text1"/>
          <w:sz w:val="18"/>
        </w:rPr>
        <w:t>-</w:t>
      </w:r>
    </w:p>
    <w:p w14:paraId="0F21D9DA" w14:textId="77777777" w:rsidR="00CD0D57" w:rsidRPr="00947C46" w:rsidRDefault="00947C46">
      <w:pPr>
        <w:pStyle w:val="BodyText"/>
        <w:spacing w:before="5"/>
        <w:ind w:left="0"/>
        <w:rPr>
          <w:color w:val="000000" w:themeColor="text1"/>
          <w:sz w:val="14"/>
        </w:rPr>
      </w:pPr>
      <w:r>
        <w:rPr>
          <w:noProof/>
        </w:rPr>
        <mc:AlternateContent>
          <mc:Choice Requires="wps">
            <w:drawing>
              <wp:anchor distT="0" distB="0" distL="0" distR="0" simplePos="0" relativeHeight="487588864" behindDoc="1" locked="0" layoutInCell="1" allowOverlap="1" wp14:anchorId="7D3E29F9" wp14:editId="28A2D65E">
                <wp:simplePos x="0" y="0"/>
                <wp:positionH relativeFrom="page">
                  <wp:posOffset>504190</wp:posOffset>
                </wp:positionH>
                <wp:positionV relativeFrom="paragraph">
                  <wp:posOffset>133985</wp:posOffset>
                </wp:positionV>
                <wp:extent cx="6764020" cy="1270"/>
                <wp:effectExtent l="0" t="0" r="17780" b="11430"/>
                <wp:wrapTopAndBottom/>
                <wp:docPr id="193"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635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44D79" id="Freeform 122" o:spid="_x0000_s1026" style="position:absolute;margin-left:39.7pt;margin-top:10.55pt;width:532.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" path="m,l10652,e" filled="f" strokecolor="#850e1f" strokeweight=".5pt">
                <v:path arrowok="t" o:connecttype="custom" o:connectlocs="0,0;2147483646,0" o:connectangles="0,0"/>
                <w10:wrap type="topAndBottom" anchorx="page"/>
              </v:shape>
            </w:pict>
          </mc:Fallback>
        </mc:AlternateContent>
      </w:r>
    </w:p>
    <w:p w14:paraId="20AF4774" w14:textId="77777777" w:rsidR="00CD0D57" w:rsidRPr="00947C46" w:rsidRDefault="009247FF">
      <w:pPr>
        <w:spacing w:before="9"/>
        <w:ind w:left="117"/>
        <w:rPr>
          <w:b/>
          <w:color w:val="000000" w:themeColor="text1"/>
          <w:sz w:val="18"/>
        </w:rPr>
      </w:pPr>
      <w:r w:rsidRPr="00947C46">
        <w:rPr>
          <w:b/>
          <w:color w:val="000000" w:themeColor="text1"/>
          <w:sz w:val="18"/>
        </w:rPr>
        <w:t>ABSTRACT</w:t>
      </w:r>
    </w:p>
    <w:p w14:paraId="23C014BC" w14:textId="77777777" w:rsidR="00BD57B8" w:rsidRDefault="00BD57B8" w:rsidP="008E61B8">
      <w:pPr>
        <w:spacing w:before="139"/>
        <w:ind w:left="114"/>
        <w:rPr>
          <w:color w:val="000000" w:themeColor="text1"/>
          <w:w w:val="95"/>
          <w:sz w:val="18"/>
        </w:rPr>
      </w:pPr>
      <w:r w:rsidRPr="00BD57B8">
        <w:rPr>
          <w:color w:val="000000" w:themeColor="text1"/>
          <w:w w:val="95"/>
          <w:sz w:val="18"/>
        </w:rPr>
        <w:t xml:space="preserve">Islamic microfinance presents a burgeoning opportunity to address financial exclusion among millions of impoverished Muslims by providing Shariah-compliant financial services. This paper explores the intersection of Islamic microfinance with the agricultural market in the ASEAN region, where smallholder farmers constitute a significant demographic. While the potential of Islamic microfinance to empower farmers and promote sustainable practices is acknowledged, there remains a gap in understanding its tailored implementation and impact within the ASEAN agricultural context. By synthesizing existing literature, this review underscores the need for further research to elucidate the specific mechanisms, challenges, and impacts of Islamic microfinance in supporting agricultural development and poverty alleviation in ASEAN countries </w:t>
      </w:r>
    </w:p>
    <w:p w14:paraId="7A7B4E0D" w14:textId="3E3C7C50" w:rsidR="00CD0D57" w:rsidRPr="008E61B8" w:rsidRDefault="009247FF" w:rsidP="008E61B8">
      <w:pPr>
        <w:spacing w:before="139"/>
        <w:ind w:left="114"/>
        <w:rPr>
          <w:color w:val="000000" w:themeColor="text1"/>
          <w:spacing w:val="-1"/>
          <w:sz w:val="18"/>
        </w:rPr>
      </w:pPr>
      <w:r w:rsidRPr="00947C46">
        <w:rPr>
          <w:b/>
          <w:color w:val="000000" w:themeColor="text1"/>
          <w:spacing w:val="-1"/>
          <w:sz w:val="18"/>
        </w:rPr>
        <w:t>Keywords:</w:t>
      </w:r>
      <w:r w:rsidRPr="00947C46">
        <w:rPr>
          <w:b/>
          <w:color w:val="000000" w:themeColor="text1"/>
          <w:sz w:val="18"/>
        </w:rPr>
        <w:t xml:space="preserve"> </w:t>
      </w:r>
      <w:r w:rsidR="00BD57B8" w:rsidRPr="00BD57B8">
        <w:rPr>
          <w:color w:val="000000" w:themeColor="text1"/>
          <w:spacing w:val="-1"/>
          <w:sz w:val="18"/>
        </w:rPr>
        <w:t>Islamic microfinance, ASEAN, agriculture, financial inclusion, sustainable development</w:t>
      </w:r>
    </w:p>
    <w:p w14:paraId="676E5390" w14:textId="5D09EA22" w:rsidR="00CD0D57" w:rsidRPr="00947C46" w:rsidRDefault="00947C46">
      <w:pPr>
        <w:spacing w:before="9"/>
        <w:ind w:left="114"/>
        <w:rPr>
          <w:color w:val="000000" w:themeColor="text1"/>
          <w:sz w:val="18"/>
        </w:rPr>
      </w:pPr>
      <w:r>
        <w:rPr>
          <w:noProof/>
        </w:rPr>
        <mc:AlternateContent>
          <mc:Choice Requires="wps">
            <w:drawing>
              <wp:anchor distT="0" distB="0" distL="0" distR="0" simplePos="0" relativeHeight="487589376" behindDoc="1" locked="0" layoutInCell="1" allowOverlap="1" wp14:anchorId="07C5EEAE" wp14:editId="014F1539">
                <wp:simplePos x="0" y="0"/>
                <wp:positionH relativeFrom="page">
                  <wp:posOffset>504190</wp:posOffset>
                </wp:positionH>
                <wp:positionV relativeFrom="paragraph">
                  <wp:posOffset>187960</wp:posOffset>
                </wp:positionV>
                <wp:extent cx="6764020" cy="1270"/>
                <wp:effectExtent l="0" t="0" r="17780" b="11430"/>
                <wp:wrapTopAndBottom/>
                <wp:docPr id="192"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635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E0CD0" id="Freeform 121" o:spid="_x0000_s1026" style="position:absolute;margin-left:39.7pt;margin-top:14.8pt;width:532.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" path="m,l10652,e" filled="f" strokecolor="#850e1f" strokeweight=".5pt">
                <v:path arrowok="t" o:connecttype="custom" o:connectlocs="0,0;2147483646,0" o:connectangles="0,0"/>
                <w10:wrap type="topAndBottom" anchorx="page"/>
              </v:shape>
            </w:pict>
          </mc:Fallback>
        </mc:AlternateContent>
      </w:r>
      <w:r w:rsidR="009247FF" w:rsidRPr="00947C46">
        <w:rPr>
          <w:b/>
          <w:color w:val="000000" w:themeColor="text1"/>
          <w:w w:val="95"/>
          <w:sz w:val="18"/>
        </w:rPr>
        <w:t>JEL</w:t>
      </w:r>
      <w:r w:rsidR="009247FF" w:rsidRPr="00947C46">
        <w:rPr>
          <w:b/>
          <w:color w:val="000000" w:themeColor="text1"/>
          <w:spacing w:val="8"/>
          <w:w w:val="95"/>
          <w:sz w:val="18"/>
        </w:rPr>
        <w:t xml:space="preserve"> </w:t>
      </w:r>
      <w:r w:rsidR="009247FF" w:rsidRPr="00947C46">
        <w:rPr>
          <w:b/>
          <w:color w:val="000000" w:themeColor="text1"/>
          <w:w w:val="95"/>
          <w:sz w:val="18"/>
        </w:rPr>
        <w:t>Classifications:</w:t>
      </w:r>
      <w:r w:rsidR="009247FF" w:rsidRPr="00947C46">
        <w:rPr>
          <w:b/>
          <w:color w:val="000000" w:themeColor="text1"/>
          <w:spacing w:val="21"/>
          <w:w w:val="95"/>
          <w:sz w:val="18"/>
        </w:rPr>
        <w:t xml:space="preserve"> </w:t>
      </w:r>
      <w:r w:rsidR="00A632E6" w:rsidRPr="00A632E6">
        <w:rPr>
          <w:color w:val="000000" w:themeColor="text1"/>
          <w:w w:val="95"/>
          <w:sz w:val="18"/>
        </w:rPr>
        <w:t>JEL Classifications codes.</w:t>
      </w:r>
    </w:p>
    <w:p w14:paraId="6ACE7FB0" w14:textId="77777777" w:rsidR="00362BD4" w:rsidRDefault="00362BD4">
      <w:pPr>
        <w:pStyle w:val="Heading1"/>
        <w:numPr>
          <w:ilvl w:val="0"/>
          <w:numId w:val="8"/>
        </w:numPr>
        <w:tabs>
          <w:tab w:val="left" w:pos="1798"/>
        </w:tabs>
        <w:spacing w:before="90"/>
        <w:jc w:val="left"/>
        <w:rPr>
          <w:color w:val="000000" w:themeColor="text1"/>
        </w:rPr>
        <w:sectPr w:rsidR="00362BD4" w:rsidSect="00362BD4">
          <w:type w:val="continuous"/>
          <w:pgSz w:w="12240" w:h="15840"/>
          <w:pgMar w:top="800" w:right="680" w:bottom="560" w:left="680" w:header="328" w:footer="361" w:gutter="0"/>
          <w:cols w:space="195"/>
        </w:sectPr>
      </w:pPr>
    </w:p>
    <w:p w14:paraId="6D58F9C9" w14:textId="77777777" w:rsidR="00CD0D57" w:rsidRPr="00947C46" w:rsidRDefault="009247FF">
      <w:pPr>
        <w:pStyle w:val="Heading1"/>
        <w:numPr>
          <w:ilvl w:val="0"/>
          <w:numId w:val="8"/>
        </w:numPr>
        <w:tabs>
          <w:tab w:val="left" w:pos="1798"/>
        </w:tabs>
        <w:spacing w:before="90"/>
        <w:jc w:val="left"/>
        <w:rPr>
          <w:color w:val="000000" w:themeColor="text1"/>
        </w:rPr>
      </w:pPr>
      <w:r w:rsidRPr="00947C46">
        <w:rPr>
          <w:color w:val="000000" w:themeColor="text1"/>
        </w:rPr>
        <w:t>INTRODUCTION</w:t>
      </w:r>
    </w:p>
    <w:p w14:paraId="097378A7" w14:textId="77777777" w:rsidR="00CD0D57" w:rsidRPr="00947C46" w:rsidRDefault="00CD0D57">
      <w:pPr>
        <w:pStyle w:val="BodyText"/>
        <w:spacing w:before="4"/>
        <w:ind w:left="0"/>
        <w:rPr>
          <w:b/>
          <w:color w:val="000000" w:themeColor="text1"/>
          <w:sz w:val="21"/>
        </w:rPr>
      </w:pPr>
    </w:p>
    <w:p w14:paraId="77C679B7" w14:textId="77777777" w:rsidR="003B53BC" w:rsidRPr="003B53BC" w:rsidRDefault="003B53BC" w:rsidP="003B53BC">
      <w:pPr>
        <w:pStyle w:val="BodyText"/>
        <w:spacing w:before="4"/>
        <w:jc w:val="both"/>
        <w:rPr>
          <w:color w:val="000000" w:themeColor="text1"/>
        </w:rPr>
      </w:pPr>
      <w:r w:rsidRPr="003B53BC">
        <w:rPr>
          <w:color w:val="000000" w:themeColor="text1"/>
        </w:rPr>
        <w:t>Islamic microfinance is a rapidly growing niche market poised to extend financial access to millions of impoverished Muslims who presently eschew conventional microfinance products due to their non-compliance with Islamic law (Karim, 2008). Despite its nascent stage, the global outreach of Islamic microfinance currently encompasses only 380,000 customers, accounting for less than 0.5% of total microfinance outreach, with Indonesia, Bangladesh, and Afghanistan collectively dominating the market (Karim, 2008). The burgeoning demand for Islamic microfinance products is evident, as surveys conducted in various countries such as Jordan, Algeria, and Syria indicate that 20-40% of respondents refrain from accessing conventional microloans due to religious considerations (Karim, 2008). This growing industry is expected to augment the overall market share of Islamic banking and finance by integrating untapped populations into formal financial systems (</w:t>
      </w:r>
      <w:proofErr w:type="spellStart"/>
      <w:r w:rsidRPr="003B53BC">
        <w:rPr>
          <w:color w:val="000000" w:themeColor="text1"/>
        </w:rPr>
        <w:t>Kustin</w:t>
      </w:r>
      <w:proofErr w:type="spellEnd"/>
      <w:r w:rsidRPr="003B53BC">
        <w:rPr>
          <w:color w:val="000000" w:themeColor="text1"/>
        </w:rPr>
        <w:t>, 2015).</w:t>
      </w:r>
    </w:p>
    <w:p w14:paraId="14384836" w14:textId="77777777" w:rsidR="003B53BC" w:rsidRPr="003B53BC" w:rsidRDefault="003B53BC" w:rsidP="003B53BC">
      <w:pPr>
        <w:pStyle w:val="BodyText"/>
        <w:spacing w:before="4"/>
        <w:jc w:val="both"/>
        <w:rPr>
          <w:color w:val="000000" w:themeColor="text1"/>
        </w:rPr>
      </w:pPr>
    </w:p>
    <w:p w14:paraId="4E36F44B" w14:textId="77777777" w:rsidR="003B53BC" w:rsidRPr="003B53BC" w:rsidRDefault="003B53BC" w:rsidP="003B53BC">
      <w:pPr>
        <w:pStyle w:val="BodyText"/>
        <w:spacing w:before="4"/>
        <w:jc w:val="both"/>
        <w:rPr>
          <w:color w:val="000000" w:themeColor="text1"/>
        </w:rPr>
      </w:pPr>
      <w:r w:rsidRPr="003B53BC">
        <w:rPr>
          <w:color w:val="000000" w:themeColor="text1"/>
        </w:rPr>
        <w:t>The expansion of Islamic microfinance is attributed to heightened attention from governments, central banks, donors, and commercial Islamic banking and finance institutions (IBFIs) (</w:t>
      </w:r>
      <w:proofErr w:type="spellStart"/>
      <w:r w:rsidRPr="003B53BC">
        <w:rPr>
          <w:color w:val="000000" w:themeColor="text1"/>
        </w:rPr>
        <w:t>Kustin</w:t>
      </w:r>
      <w:proofErr w:type="spellEnd"/>
      <w:r w:rsidRPr="003B53BC">
        <w:rPr>
          <w:color w:val="000000" w:themeColor="text1"/>
        </w:rPr>
        <w:t>, 2015). Forecasts suggest a compound annual growth rate (CAGR) of 19.7% from 2013 to 2018, underscoring its promising trajectory (</w:t>
      </w:r>
      <w:proofErr w:type="spellStart"/>
      <w:r w:rsidRPr="003B53BC">
        <w:rPr>
          <w:color w:val="000000" w:themeColor="text1"/>
        </w:rPr>
        <w:t>Kustin</w:t>
      </w:r>
      <w:proofErr w:type="spellEnd"/>
      <w:r w:rsidRPr="003B53BC">
        <w:rPr>
          <w:color w:val="000000" w:themeColor="text1"/>
        </w:rPr>
        <w:t>, 2015). The agricultural market in the ASEAN region stands to benefit significantly from Islamic microfinance, given its potential to cater to the financial needs of impoverished individuals on a large scale (Karim, 2008). However, the industry confronts numerous challenges in achieving sustainable scalability, including the imperative for more extensive market research and validated business models (Karim, 2008).</w:t>
      </w:r>
    </w:p>
    <w:p w14:paraId="2D46AF53" w14:textId="77777777" w:rsidR="003B53BC" w:rsidRPr="003B53BC" w:rsidRDefault="003B53BC" w:rsidP="003B53BC">
      <w:pPr>
        <w:pStyle w:val="BodyText"/>
        <w:spacing w:before="4"/>
        <w:jc w:val="both"/>
        <w:rPr>
          <w:color w:val="000000" w:themeColor="text1"/>
        </w:rPr>
      </w:pPr>
    </w:p>
    <w:p w14:paraId="0BC0C0F9" w14:textId="77777777" w:rsidR="003B53BC" w:rsidRPr="003B53BC" w:rsidRDefault="003B53BC" w:rsidP="003B53BC">
      <w:pPr>
        <w:pStyle w:val="BodyText"/>
        <w:spacing w:before="4"/>
        <w:jc w:val="both"/>
        <w:rPr>
          <w:color w:val="000000" w:themeColor="text1"/>
        </w:rPr>
      </w:pPr>
      <w:r w:rsidRPr="003B53BC">
        <w:rPr>
          <w:color w:val="000000" w:themeColor="text1"/>
        </w:rPr>
        <w:t>The agricultural market in the ASEAN region holds particular relevance for Islamic microfinance, as it can address the financial requirements of smallholder farmers and rural communities, many of whom are Muslim and may prefer Shariah-compliant financial products (Obaidullah, 2008). Islamic microfinance institutions in the ASEAN region have the capacity to offer services aligning with Islamic law, such as interest-free loans and profit-sharing arrangements, thereby meeting the needs of this demographic (Obaidullah, 2008).</w:t>
      </w:r>
    </w:p>
    <w:p w14:paraId="7CB7BE4F" w14:textId="77777777" w:rsidR="003B53BC" w:rsidRPr="003B53BC" w:rsidRDefault="003B53BC" w:rsidP="003B53BC">
      <w:pPr>
        <w:pStyle w:val="BodyText"/>
        <w:spacing w:before="4"/>
        <w:jc w:val="both"/>
        <w:rPr>
          <w:color w:val="000000" w:themeColor="text1"/>
        </w:rPr>
      </w:pPr>
    </w:p>
    <w:p w14:paraId="300CE332" w14:textId="77777777" w:rsidR="003B53BC" w:rsidRPr="003B53BC" w:rsidRDefault="003B53BC" w:rsidP="003B53BC">
      <w:pPr>
        <w:pStyle w:val="BodyText"/>
        <w:spacing w:before="4"/>
        <w:jc w:val="both"/>
        <w:rPr>
          <w:color w:val="000000" w:themeColor="text1"/>
        </w:rPr>
      </w:pPr>
      <w:r w:rsidRPr="003B53BC">
        <w:rPr>
          <w:color w:val="000000" w:themeColor="text1"/>
        </w:rPr>
        <w:t>Islamic microfinance, integrating Islamic finance principles with microfinance, has garnered substantial attention in recent years (</w:t>
      </w:r>
      <w:proofErr w:type="spellStart"/>
      <w:r w:rsidRPr="003B53BC">
        <w:rPr>
          <w:color w:val="000000" w:themeColor="text1"/>
        </w:rPr>
        <w:t>Mansori</w:t>
      </w:r>
      <w:proofErr w:type="spellEnd"/>
      <w:r w:rsidRPr="003B53BC">
        <w:rPr>
          <w:color w:val="000000" w:themeColor="text1"/>
        </w:rPr>
        <w:t xml:space="preserve"> et al., 2015). This innovative approach is especially pertinent in the ASEAN agricultural sector, where small-scale farmers and rural communities encounter unique financial hurdles (Azman et al., 2021). By furnishing access to Shariah-compliant financing options, Islamic microfinance endeavors to empower </w:t>
      </w:r>
      <w:r w:rsidRPr="003B53BC">
        <w:rPr>
          <w:color w:val="000000" w:themeColor="text1"/>
        </w:rPr>
        <w:lastRenderedPageBreak/>
        <w:t xml:space="preserve">small-scale farmers in the ASEAN market and promote sustainable agricultural practices adhering to Islamic tenets (Nur et al., 2023). Employing </w:t>
      </w:r>
      <w:proofErr w:type="spellStart"/>
      <w:r w:rsidRPr="003B53BC">
        <w:rPr>
          <w:color w:val="000000" w:themeColor="text1"/>
        </w:rPr>
        <w:t>Mudarabah</w:t>
      </w:r>
      <w:proofErr w:type="spellEnd"/>
      <w:r w:rsidRPr="003B53BC">
        <w:rPr>
          <w:color w:val="000000" w:themeColor="text1"/>
        </w:rPr>
        <w:t xml:space="preserve"> financing models and agricultural financing support, Islamic microfinance can play a pivotal role in poverty alleviation and fostering inclusive economic growth in the ASEAN agricultural sector (</w:t>
      </w:r>
      <w:proofErr w:type="spellStart"/>
      <w:r w:rsidRPr="003B53BC">
        <w:rPr>
          <w:color w:val="000000" w:themeColor="text1"/>
        </w:rPr>
        <w:t>Syifa</w:t>
      </w:r>
      <w:proofErr w:type="spellEnd"/>
      <w:r w:rsidRPr="003B53BC">
        <w:rPr>
          <w:color w:val="000000" w:themeColor="text1"/>
        </w:rPr>
        <w:t xml:space="preserve"> &amp; </w:t>
      </w:r>
      <w:proofErr w:type="spellStart"/>
      <w:r w:rsidRPr="003B53BC">
        <w:rPr>
          <w:color w:val="000000" w:themeColor="text1"/>
        </w:rPr>
        <w:t>Ridlwan</w:t>
      </w:r>
      <w:proofErr w:type="spellEnd"/>
      <w:r w:rsidRPr="003B53BC">
        <w:rPr>
          <w:color w:val="000000" w:themeColor="text1"/>
        </w:rPr>
        <w:t>, 2021). Implementing Islamic microfinance in the ASEAN market holds the potential to address the financial needs of small-scale farmers and rural communities, facilitating their access to mainstream financial services and enhancing their livelihoods (</w:t>
      </w:r>
      <w:proofErr w:type="spellStart"/>
      <w:r w:rsidRPr="003B53BC">
        <w:rPr>
          <w:color w:val="000000" w:themeColor="text1"/>
        </w:rPr>
        <w:t>Kakembo</w:t>
      </w:r>
      <w:proofErr w:type="spellEnd"/>
      <w:r w:rsidRPr="003B53BC">
        <w:rPr>
          <w:color w:val="000000" w:themeColor="text1"/>
        </w:rPr>
        <w:t xml:space="preserve"> &amp; Ahmad, 2019). Additionally, Islamic microfinance can contribute to the growth and development of the agricultural sector by providing farmers with the necessary capital to adopt modern farming techniques and technologies, thereby augmenting productivity and overall agricultural yield (</w:t>
      </w:r>
      <w:proofErr w:type="spellStart"/>
      <w:r w:rsidRPr="003B53BC">
        <w:rPr>
          <w:color w:val="000000" w:themeColor="text1"/>
        </w:rPr>
        <w:t>Darwanto</w:t>
      </w:r>
      <w:proofErr w:type="spellEnd"/>
      <w:r w:rsidRPr="003B53BC">
        <w:rPr>
          <w:color w:val="000000" w:themeColor="text1"/>
        </w:rPr>
        <w:t xml:space="preserve"> et al., 2019; </w:t>
      </w:r>
      <w:proofErr w:type="spellStart"/>
      <w:r w:rsidRPr="003B53BC">
        <w:rPr>
          <w:color w:val="000000" w:themeColor="text1"/>
        </w:rPr>
        <w:t>Almohamed</w:t>
      </w:r>
      <w:proofErr w:type="spellEnd"/>
      <w:r w:rsidRPr="003B53BC">
        <w:rPr>
          <w:color w:val="000000" w:themeColor="text1"/>
        </w:rPr>
        <w:t xml:space="preserve"> &amp; Cheikh, 2018).</w:t>
      </w:r>
    </w:p>
    <w:p w14:paraId="7974D0CC" w14:textId="77777777" w:rsidR="003B53BC" w:rsidRPr="003B53BC" w:rsidRDefault="003B53BC" w:rsidP="003B53BC">
      <w:pPr>
        <w:pStyle w:val="BodyText"/>
        <w:spacing w:before="4"/>
        <w:jc w:val="both"/>
        <w:rPr>
          <w:color w:val="000000" w:themeColor="text1"/>
        </w:rPr>
      </w:pPr>
    </w:p>
    <w:p w14:paraId="117B27EF" w14:textId="77777777" w:rsidR="003B53BC" w:rsidRPr="003B53BC" w:rsidRDefault="003B53BC" w:rsidP="003B53BC">
      <w:pPr>
        <w:pStyle w:val="BodyText"/>
        <w:spacing w:before="4"/>
        <w:jc w:val="both"/>
        <w:rPr>
          <w:color w:val="000000" w:themeColor="text1"/>
        </w:rPr>
      </w:pPr>
      <w:r w:rsidRPr="003B53BC">
        <w:rPr>
          <w:color w:val="000000" w:themeColor="text1"/>
        </w:rPr>
        <w:t>Understanding the emerging agricultural market in ASEAN is imperative in the context of Islamic microfinance for several reasons. Firstly, the ASEAN region harbors a significant population of small-scale farmers and rural communities dependent on agriculture for sustenance (</w:t>
      </w:r>
      <w:proofErr w:type="spellStart"/>
      <w:r w:rsidRPr="003B53BC">
        <w:rPr>
          <w:color w:val="000000" w:themeColor="text1"/>
        </w:rPr>
        <w:t>Zaimsyah</w:t>
      </w:r>
      <w:proofErr w:type="spellEnd"/>
      <w:r w:rsidRPr="003B53BC">
        <w:rPr>
          <w:color w:val="000000" w:themeColor="text1"/>
        </w:rPr>
        <w:t>, 2020). Secondly, the agricultural sector plays a pivotal role in the economies of ASEAN countries, bolstering food security and employment opportunities (</w:t>
      </w:r>
      <w:proofErr w:type="spellStart"/>
      <w:r w:rsidRPr="003B53BC">
        <w:rPr>
          <w:color w:val="000000" w:themeColor="text1"/>
        </w:rPr>
        <w:t>Hoàng</w:t>
      </w:r>
      <w:proofErr w:type="spellEnd"/>
      <w:r w:rsidRPr="003B53BC">
        <w:rPr>
          <w:color w:val="000000" w:themeColor="text1"/>
        </w:rPr>
        <w:t>, 2018). Consequently, addressing the financial needs of small-scale farmers and facilitating their access to financial services through Islamic microfinance can substantially impact poverty reduction (Begum et al., 2019) and spur economic development in the ASEAN region (</w:t>
      </w:r>
      <w:proofErr w:type="spellStart"/>
      <w:r w:rsidRPr="003B53BC">
        <w:rPr>
          <w:color w:val="000000" w:themeColor="text1"/>
        </w:rPr>
        <w:t>Almohamed</w:t>
      </w:r>
      <w:proofErr w:type="spellEnd"/>
      <w:r w:rsidRPr="003B53BC">
        <w:rPr>
          <w:color w:val="000000" w:themeColor="text1"/>
        </w:rPr>
        <w:t xml:space="preserve"> &amp; Cheikh, 2018). Moreover, given the substantial Muslim populace in the ASEAN region, Islamic microfinance emerges as a pertinent and apt financial mechanism to cater to their financial requirements (</w:t>
      </w:r>
      <w:proofErr w:type="spellStart"/>
      <w:r w:rsidRPr="003B53BC">
        <w:rPr>
          <w:color w:val="000000" w:themeColor="text1"/>
        </w:rPr>
        <w:t>Mansori</w:t>
      </w:r>
      <w:proofErr w:type="spellEnd"/>
      <w:r w:rsidRPr="003B53BC">
        <w:rPr>
          <w:color w:val="000000" w:themeColor="text1"/>
        </w:rPr>
        <w:t xml:space="preserve"> et al., 2015).</w:t>
      </w:r>
    </w:p>
    <w:p w14:paraId="3CB7BF2F" w14:textId="77777777" w:rsidR="003B53BC" w:rsidRPr="003B53BC" w:rsidRDefault="003B53BC" w:rsidP="003B53BC">
      <w:pPr>
        <w:pStyle w:val="BodyText"/>
        <w:spacing w:before="4"/>
        <w:jc w:val="both"/>
        <w:rPr>
          <w:color w:val="000000" w:themeColor="text1"/>
        </w:rPr>
      </w:pPr>
    </w:p>
    <w:p w14:paraId="702E533A" w14:textId="77777777" w:rsidR="003B53BC" w:rsidRPr="003B53BC" w:rsidRDefault="003B53BC" w:rsidP="003B53BC">
      <w:pPr>
        <w:pStyle w:val="BodyText"/>
        <w:spacing w:before="4"/>
        <w:jc w:val="both"/>
        <w:rPr>
          <w:color w:val="000000" w:themeColor="text1"/>
        </w:rPr>
      </w:pPr>
      <w:r w:rsidRPr="003B53BC">
        <w:rPr>
          <w:color w:val="000000" w:themeColor="text1"/>
        </w:rPr>
        <w:t>To comprehensively examine the role of Islamic microfinance in the agricultural sector within ASEAN countries, this paper should address the agricultural market situation and its characteristics due to the significant economic contribution of agriculture to the GDPs of these nations, which ranges from 10–50% (Nghiem et al., 2013). Understanding the market dynamics is crucial for tailoring Islamic microfinance products that effectively meet the unique needs of farmers and enhance agricultural productivity (Hossain et al., 2019).</w:t>
      </w:r>
    </w:p>
    <w:p w14:paraId="3C3BBA27" w14:textId="77777777" w:rsidR="003B53BC" w:rsidRPr="003B53BC" w:rsidRDefault="003B53BC" w:rsidP="003B53BC">
      <w:pPr>
        <w:pStyle w:val="BodyText"/>
        <w:spacing w:before="4"/>
        <w:jc w:val="both"/>
        <w:rPr>
          <w:color w:val="000000" w:themeColor="text1"/>
        </w:rPr>
      </w:pPr>
    </w:p>
    <w:p w14:paraId="5A613B2A" w14:textId="77777777" w:rsidR="003B53BC" w:rsidRPr="003B53BC" w:rsidRDefault="003B53BC" w:rsidP="003B53BC">
      <w:pPr>
        <w:pStyle w:val="BodyText"/>
        <w:spacing w:before="4"/>
        <w:jc w:val="both"/>
        <w:rPr>
          <w:color w:val="000000" w:themeColor="text1"/>
        </w:rPr>
      </w:pPr>
      <w:r w:rsidRPr="003B53BC">
        <w:rPr>
          <w:color w:val="000000" w:themeColor="text1"/>
        </w:rPr>
        <w:t>Discussing the implementation of Islamic microfinance in the agricultural sector in several ASEAN countries is vital because it provides insights into existing models and practices (</w:t>
      </w:r>
      <w:proofErr w:type="spellStart"/>
      <w:r w:rsidRPr="003B53BC">
        <w:rPr>
          <w:color w:val="000000" w:themeColor="text1"/>
        </w:rPr>
        <w:t>Wulandari</w:t>
      </w:r>
      <w:proofErr w:type="spellEnd"/>
      <w:r w:rsidRPr="003B53BC">
        <w:rPr>
          <w:color w:val="000000" w:themeColor="text1"/>
        </w:rPr>
        <w:t xml:space="preserve"> et al., 2016). It also showcases how Islamic finance principles are applied in different contexts to support small-scale farmers and rural economies, particularly where there is a significant Muslim population that prefers Shariah-compliant financial services (Hossain et al., 2019).</w:t>
      </w:r>
    </w:p>
    <w:p w14:paraId="5F27A1A8" w14:textId="77777777" w:rsidR="003B53BC" w:rsidRPr="003B53BC" w:rsidRDefault="003B53BC" w:rsidP="003B53BC">
      <w:pPr>
        <w:pStyle w:val="BodyText"/>
        <w:spacing w:before="4"/>
        <w:jc w:val="both"/>
        <w:rPr>
          <w:color w:val="000000" w:themeColor="text1"/>
        </w:rPr>
      </w:pPr>
    </w:p>
    <w:p w14:paraId="5A24DCA7" w14:textId="0E719D59" w:rsidR="009759EE" w:rsidRPr="009759EE" w:rsidRDefault="003B53BC" w:rsidP="003B53BC">
      <w:pPr>
        <w:pStyle w:val="BodyText"/>
        <w:spacing w:before="4"/>
        <w:jc w:val="both"/>
        <w:rPr>
          <w:color w:val="000000" w:themeColor="text1"/>
        </w:rPr>
      </w:pPr>
      <w:r w:rsidRPr="003B53BC">
        <w:rPr>
          <w:color w:val="000000" w:themeColor="text1"/>
        </w:rPr>
        <w:t xml:space="preserve">Lastly, exploring the impacts and challenges faced in the development of Islamic microfinance within the ASEAN agricultural market is essential (Rahman &amp; Dean, 2013). By acknowledging both the positive influence on poverty reduction and economic development, and the challenges such as awareness, product design, and risk management, stakeholders can develop strategies to maximize benefits and mitigate risks (Golan &amp; Kohli, 2013). This dual focus can inform and encourage </w:t>
      </w:r>
      <w:r w:rsidRPr="003B53BC">
        <w:rPr>
          <w:color w:val="000000" w:themeColor="text1"/>
        </w:rPr>
        <w:t>innovations in Islamic microfinance that align with ASEAN's socio-economic goals and Islamic financing principles (Wahab et al., 2023).</w:t>
      </w:r>
    </w:p>
    <w:p w14:paraId="26405ED8" w14:textId="77777777" w:rsidR="00CD0D57" w:rsidRDefault="00CD0D57">
      <w:pPr>
        <w:pStyle w:val="BodyText"/>
        <w:spacing w:before="4"/>
        <w:ind w:left="0"/>
        <w:rPr>
          <w:color w:val="000000" w:themeColor="text1"/>
          <w:sz w:val="25"/>
        </w:rPr>
      </w:pPr>
    </w:p>
    <w:p w14:paraId="1DF2320C" w14:textId="77777777" w:rsidR="003B53BC" w:rsidRPr="00947C46" w:rsidRDefault="003B53BC">
      <w:pPr>
        <w:pStyle w:val="BodyText"/>
        <w:spacing w:before="4"/>
        <w:ind w:left="0"/>
        <w:rPr>
          <w:color w:val="000000" w:themeColor="text1"/>
          <w:sz w:val="25"/>
        </w:rPr>
      </w:pPr>
    </w:p>
    <w:p w14:paraId="0E833CE5" w14:textId="2F086192" w:rsidR="00CD0D57" w:rsidRPr="00947C46" w:rsidRDefault="003B53BC" w:rsidP="003B53BC">
      <w:pPr>
        <w:pStyle w:val="Heading1"/>
        <w:numPr>
          <w:ilvl w:val="0"/>
          <w:numId w:val="8"/>
        </w:numPr>
        <w:tabs>
          <w:tab w:val="left" w:pos="955"/>
        </w:tabs>
        <w:spacing w:before="1" w:line="288" w:lineRule="auto"/>
        <w:ind w:left="1560" w:right="636" w:hanging="283"/>
        <w:jc w:val="left"/>
        <w:rPr>
          <w:color w:val="000000" w:themeColor="text1"/>
        </w:rPr>
      </w:pPr>
      <w:r>
        <w:rPr>
          <w:color w:val="000000" w:themeColor="text1"/>
        </w:rPr>
        <w:t>LITERATURE REVIEW</w:t>
      </w:r>
    </w:p>
    <w:p w14:paraId="6B5B3A8C" w14:textId="4C5BF19C" w:rsidR="003B53BC" w:rsidRPr="003B53BC" w:rsidRDefault="003B53BC" w:rsidP="003B53BC">
      <w:pPr>
        <w:pStyle w:val="BodyText"/>
        <w:spacing w:before="190" w:line="254" w:lineRule="auto"/>
        <w:ind w:right="38"/>
        <w:jc w:val="both"/>
        <w:rPr>
          <w:b/>
          <w:bCs/>
          <w:color w:val="000000" w:themeColor="text1"/>
          <w:spacing w:val="-1"/>
        </w:rPr>
      </w:pPr>
      <w:r w:rsidRPr="003B53BC">
        <w:rPr>
          <w:b/>
          <w:bCs/>
          <w:color w:val="000000" w:themeColor="text1"/>
          <w:spacing w:val="-1"/>
        </w:rPr>
        <w:t>2.1 Concept and basic principles of Islamic microfinance.</w:t>
      </w:r>
    </w:p>
    <w:p w14:paraId="6A5B84BB" w14:textId="768BCD63" w:rsidR="003B53BC" w:rsidRPr="003B53BC" w:rsidRDefault="003B53BC" w:rsidP="003B53BC">
      <w:pPr>
        <w:pStyle w:val="BodyText"/>
        <w:spacing w:before="190" w:line="254" w:lineRule="auto"/>
        <w:ind w:right="38"/>
        <w:jc w:val="both"/>
        <w:rPr>
          <w:color w:val="000000" w:themeColor="text1"/>
          <w:spacing w:val="-1"/>
        </w:rPr>
      </w:pPr>
      <w:r w:rsidRPr="003B53BC">
        <w:rPr>
          <w:color w:val="000000" w:themeColor="text1"/>
          <w:spacing w:val="-1"/>
        </w:rPr>
        <w:t>Islamic microfinance is a financial system that operates in accordance with the principles of Islamic finance (</w:t>
      </w:r>
      <w:proofErr w:type="spellStart"/>
      <w:r w:rsidRPr="003B53BC">
        <w:rPr>
          <w:color w:val="000000" w:themeColor="text1"/>
          <w:spacing w:val="-1"/>
        </w:rPr>
        <w:t>Almohamed</w:t>
      </w:r>
      <w:proofErr w:type="spellEnd"/>
      <w:r w:rsidRPr="003B53BC">
        <w:rPr>
          <w:color w:val="000000" w:themeColor="text1"/>
          <w:spacing w:val="-1"/>
        </w:rPr>
        <w:t xml:space="preserve"> &amp; Cheikh, 2018). It promotes financial inclusion and social welfare by providing access to financial services that are compliant with Islamic principles such as prohibition of interest (</w:t>
      </w:r>
      <w:proofErr w:type="spellStart"/>
      <w:r w:rsidRPr="003B53BC">
        <w:rPr>
          <w:color w:val="000000" w:themeColor="text1"/>
          <w:spacing w:val="-1"/>
        </w:rPr>
        <w:t>riba</w:t>
      </w:r>
      <w:proofErr w:type="spellEnd"/>
      <w:r w:rsidRPr="003B53BC">
        <w:rPr>
          <w:color w:val="000000" w:themeColor="text1"/>
          <w:spacing w:val="-1"/>
        </w:rPr>
        <w:t>), speculation and uncertainty (</w:t>
      </w:r>
      <w:proofErr w:type="spellStart"/>
      <w:r w:rsidRPr="003B53BC">
        <w:rPr>
          <w:color w:val="000000" w:themeColor="text1"/>
          <w:spacing w:val="-1"/>
        </w:rPr>
        <w:t>gharar</w:t>
      </w:r>
      <w:proofErr w:type="spellEnd"/>
      <w:r w:rsidRPr="003B53BC">
        <w:rPr>
          <w:color w:val="000000" w:themeColor="text1"/>
          <w:spacing w:val="-1"/>
        </w:rPr>
        <w:t>), and the promotion of ethical and socially responsible investments (Shahid et al., 2022</w:t>
      </w:r>
      <w:proofErr w:type="gramStart"/>
      <w:r w:rsidRPr="003B53BC">
        <w:rPr>
          <w:color w:val="000000" w:themeColor="text1"/>
          <w:spacing w:val="-1"/>
        </w:rPr>
        <w:t>).The</w:t>
      </w:r>
      <w:proofErr w:type="gramEnd"/>
      <w:r w:rsidRPr="003B53BC">
        <w:rPr>
          <w:color w:val="000000" w:themeColor="text1"/>
          <w:spacing w:val="-1"/>
        </w:rPr>
        <w:t xml:space="preserve"> principle of Islamic microfinance is rooted in the concept of equitable distribution of wealth and social justice (</w:t>
      </w:r>
      <w:proofErr w:type="spellStart"/>
      <w:r w:rsidRPr="003B53BC">
        <w:rPr>
          <w:color w:val="000000" w:themeColor="text1"/>
          <w:spacing w:val="-1"/>
        </w:rPr>
        <w:t>Almohamed</w:t>
      </w:r>
      <w:proofErr w:type="spellEnd"/>
      <w:r w:rsidRPr="003B53BC">
        <w:rPr>
          <w:color w:val="000000" w:themeColor="text1"/>
          <w:spacing w:val="-1"/>
        </w:rPr>
        <w:t xml:space="preserve"> &amp; Cheikh, 2018). It aims to provide financial services in a way that is fair, transparent, and socially responsible (</w:t>
      </w:r>
      <w:proofErr w:type="spellStart"/>
      <w:r w:rsidRPr="003B53BC">
        <w:rPr>
          <w:color w:val="000000" w:themeColor="text1"/>
          <w:spacing w:val="-1"/>
        </w:rPr>
        <w:t>Mansori</w:t>
      </w:r>
      <w:proofErr w:type="spellEnd"/>
      <w:r w:rsidRPr="003B53BC">
        <w:rPr>
          <w:color w:val="000000" w:themeColor="text1"/>
          <w:spacing w:val="-1"/>
        </w:rPr>
        <w:t xml:space="preserve"> et al., 2015). Some of the key principles of Islamic microfinance include profit and loss sharing, where the financier shares both the risks and rewards of the investment with the borrower, and avoiding activities that are considered unethical or harmful to society (</w:t>
      </w:r>
      <w:proofErr w:type="spellStart"/>
      <w:r w:rsidRPr="003B53BC">
        <w:rPr>
          <w:color w:val="000000" w:themeColor="text1"/>
          <w:spacing w:val="-1"/>
        </w:rPr>
        <w:t>Almohamed</w:t>
      </w:r>
      <w:proofErr w:type="spellEnd"/>
      <w:r w:rsidRPr="003B53BC">
        <w:rPr>
          <w:color w:val="000000" w:themeColor="text1"/>
          <w:spacing w:val="-1"/>
        </w:rPr>
        <w:t xml:space="preserve"> &amp; Cheikh, 2018).</w:t>
      </w:r>
    </w:p>
    <w:p w14:paraId="1DC1872D" w14:textId="74E18204" w:rsidR="003B53BC" w:rsidRPr="003B53BC" w:rsidRDefault="003B53BC" w:rsidP="003B53BC">
      <w:pPr>
        <w:pStyle w:val="BodyText"/>
        <w:spacing w:before="190" w:line="254" w:lineRule="auto"/>
        <w:ind w:right="38"/>
        <w:jc w:val="both"/>
        <w:rPr>
          <w:b/>
          <w:bCs/>
          <w:color w:val="000000" w:themeColor="text1"/>
          <w:spacing w:val="-1"/>
        </w:rPr>
      </w:pPr>
      <w:r w:rsidRPr="003B53BC">
        <w:rPr>
          <w:b/>
          <w:bCs/>
          <w:color w:val="000000" w:themeColor="text1"/>
          <w:spacing w:val="-1"/>
        </w:rPr>
        <w:t>2.2 Relevant literature on the role of Islamic microfinance in supporting the agricultural sector in ASEAN countries.</w:t>
      </w:r>
    </w:p>
    <w:p w14:paraId="4A69DEC8" w14:textId="55B8766D" w:rsidR="003B53BC" w:rsidRPr="003B53BC" w:rsidRDefault="003B53BC" w:rsidP="003B53BC">
      <w:pPr>
        <w:pStyle w:val="BodyText"/>
        <w:spacing w:before="190" w:line="254" w:lineRule="auto"/>
        <w:ind w:right="38"/>
        <w:jc w:val="both"/>
        <w:rPr>
          <w:color w:val="000000" w:themeColor="text1"/>
          <w:spacing w:val="-1"/>
        </w:rPr>
      </w:pPr>
      <w:r w:rsidRPr="003B53BC">
        <w:rPr>
          <w:color w:val="000000" w:themeColor="text1"/>
          <w:spacing w:val="-1"/>
        </w:rPr>
        <w:t>There is limited literature specifically exploring the role of Islamic microfinance in supporting the agricultural sector in ASEAN countries. However, a few studies have highlighted the potential of Islamic microfinance in addressing the financial needs of small-scale farmers and promoting agricultural development. For example, the first source mentions that Islamic microfinance can be a viable alternative to mainstream financial services and can play a fundamental role in poverty alleviation (</w:t>
      </w:r>
      <w:proofErr w:type="spellStart"/>
      <w:r w:rsidRPr="003B53BC">
        <w:rPr>
          <w:color w:val="000000" w:themeColor="text1"/>
          <w:spacing w:val="-1"/>
        </w:rPr>
        <w:t>Ginanjar</w:t>
      </w:r>
      <w:proofErr w:type="spellEnd"/>
      <w:r w:rsidRPr="003B53BC">
        <w:rPr>
          <w:color w:val="000000" w:themeColor="text1"/>
          <w:spacing w:val="-1"/>
        </w:rPr>
        <w:t xml:space="preserve"> &amp; </w:t>
      </w:r>
      <w:proofErr w:type="spellStart"/>
      <w:r w:rsidRPr="003B53BC">
        <w:rPr>
          <w:color w:val="000000" w:themeColor="text1"/>
          <w:spacing w:val="-1"/>
        </w:rPr>
        <w:t>Kassim</w:t>
      </w:r>
      <w:proofErr w:type="spellEnd"/>
      <w:r w:rsidRPr="003B53BC">
        <w:rPr>
          <w:color w:val="000000" w:themeColor="text1"/>
          <w:spacing w:val="-1"/>
        </w:rPr>
        <w:t>, 2020).</w:t>
      </w:r>
      <w:r w:rsidR="00AD503C">
        <w:rPr>
          <w:color w:val="000000" w:themeColor="text1"/>
          <w:spacing w:val="-1"/>
        </w:rPr>
        <w:t xml:space="preserve"> </w:t>
      </w:r>
      <w:r w:rsidRPr="003B53BC">
        <w:rPr>
          <w:color w:val="000000" w:themeColor="text1"/>
          <w:spacing w:val="-1"/>
        </w:rPr>
        <w:t>Furthermore, the second source discusses how Islamic microfinance, based on the principle of Murabaha, has been successful in developing livestock production and promoting sustainability in rural areas of Syria (</w:t>
      </w:r>
      <w:proofErr w:type="spellStart"/>
      <w:r w:rsidRPr="003B53BC">
        <w:rPr>
          <w:color w:val="000000" w:themeColor="text1"/>
          <w:spacing w:val="-1"/>
        </w:rPr>
        <w:t>Almohamed</w:t>
      </w:r>
      <w:proofErr w:type="spellEnd"/>
      <w:r w:rsidRPr="003B53BC">
        <w:rPr>
          <w:color w:val="000000" w:themeColor="text1"/>
          <w:spacing w:val="-1"/>
        </w:rPr>
        <w:t xml:space="preserve"> &amp; Cheikh, 2018). It is important to note that while these studies provide valuable insights, further research is needed to fully understand the impact of Islamic microfinance on the agricultural sector in ASEAN countries</w:t>
      </w:r>
    </w:p>
    <w:p w14:paraId="0D0A8FDF" w14:textId="17556E9C" w:rsidR="003B53BC" w:rsidRPr="003B53BC" w:rsidRDefault="003B53BC" w:rsidP="003B53BC">
      <w:pPr>
        <w:pStyle w:val="BodyText"/>
        <w:spacing w:before="190" w:line="254" w:lineRule="auto"/>
        <w:ind w:right="38"/>
        <w:jc w:val="both"/>
        <w:rPr>
          <w:b/>
          <w:bCs/>
          <w:color w:val="000000" w:themeColor="text1"/>
          <w:spacing w:val="-1"/>
        </w:rPr>
      </w:pPr>
      <w:r w:rsidRPr="003B53BC">
        <w:rPr>
          <w:b/>
          <w:bCs/>
          <w:color w:val="000000" w:themeColor="text1"/>
          <w:spacing w:val="-1"/>
        </w:rPr>
        <w:t>2.3 Literature review on the agricultural market in ASEAN and its development trends.</w:t>
      </w:r>
    </w:p>
    <w:p w14:paraId="3282BE0E" w14:textId="77777777" w:rsidR="004423AD" w:rsidRDefault="003B53BC" w:rsidP="004423AD">
      <w:pPr>
        <w:pStyle w:val="BodyText"/>
        <w:spacing w:before="190" w:line="254" w:lineRule="auto"/>
        <w:ind w:right="38"/>
        <w:jc w:val="both"/>
        <w:rPr>
          <w:color w:val="000000" w:themeColor="text1"/>
          <w:spacing w:val="-1"/>
        </w:rPr>
      </w:pPr>
      <w:r w:rsidRPr="003B53BC">
        <w:rPr>
          <w:color w:val="000000" w:themeColor="text1"/>
          <w:spacing w:val="-1"/>
        </w:rPr>
        <w:t xml:space="preserve">The literature review on the agricultural market in ASEAN and its development trends provides valuable insights into the current state of the agricultural sector in the region. It highlights the challenges and opportunities that exist for Islamic microfinance in addressing the financial needs of small-scale farmers (Nur et al., 2023). By examining existing literature on the subject, policymakers and financial institutions can gain a deeper understanding of the potential impacts and strategies for implementing Islamic microfinance in the agricultural sector of ASEAN (Aslam, 2014). Using the findings of this literature </w:t>
      </w:r>
      <w:r w:rsidRPr="003B53BC">
        <w:rPr>
          <w:color w:val="000000" w:themeColor="text1"/>
          <w:spacing w:val="-1"/>
        </w:rPr>
        <w:lastRenderedPageBreak/>
        <w:t>review, policymakers and financial institutions can develop targeted interventions and policies to promote the adoption of Islamic microfinance in the agricultural sector (Nur et al., 2023)</w:t>
      </w:r>
    </w:p>
    <w:p w14:paraId="74709E4F" w14:textId="77777777" w:rsidR="00CD0D57" w:rsidRPr="00947C46" w:rsidRDefault="00CD0D57">
      <w:pPr>
        <w:pStyle w:val="BodyText"/>
        <w:spacing w:before="4"/>
        <w:ind w:left="0"/>
        <w:rPr>
          <w:color w:val="000000" w:themeColor="text1"/>
          <w:sz w:val="24"/>
        </w:rPr>
      </w:pPr>
    </w:p>
    <w:p w14:paraId="14D7A96E" w14:textId="16C5157E" w:rsidR="00CD0D57" w:rsidRPr="003B53BC" w:rsidRDefault="003B53BC" w:rsidP="003B53BC">
      <w:pPr>
        <w:pStyle w:val="Heading1"/>
        <w:numPr>
          <w:ilvl w:val="0"/>
          <w:numId w:val="8"/>
        </w:numPr>
        <w:tabs>
          <w:tab w:val="left" w:pos="4111"/>
        </w:tabs>
        <w:ind w:left="1701"/>
        <w:jc w:val="left"/>
        <w:rPr>
          <w:color w:val="000000" w:themeColor="text1"/>
        </w:rPr>
      </w:pPr>
      <w:r>
        <w:rPr>
          <w:color w:val="000000" w:themeColor="text1"/>
        </w:rPr>
        <w:t>METHODOLOGY</w:t>
      </w:r>
    </w:p>
    <w:p w14:paraId="0058487D" w14:textId="72A7C488" w:rsidR="00864E3B" w:rsidRDefault="00864E3B" w:rsidP="00864E3B">
      <w:pPr>
        <w:pStyle w:val="BodyText"/>
        <w:spacing w:line="252" w:lineRule="auto"/>
        <w:ind w:left="142" w:right="38"/>
        <w:jc w:val="both"/>
        <w:rPr>
          <w:color w:val="000000" w:themeColor="text1"/>
        </w:rPr>
      </w:pPr>
      <w:r>
        <w:rPr>
          <w:color w:val="000000" w:themeColor="text1"/>
        </w:rPr>
        <w:t xml:space="preserve"> </w:t>
      </w:r>
    </w:p>
    <w:p w14:paraId="2ED593F0" w14:textId="3F782AF8" w:rsidR="003B53BC" w:rsidRPr="003B53BC" w:rsidRDefault="003B53BC" w:rsidP="003B53BC">
      <w:pPr>
        <w:pStyle w:val="BodyText"/>
        <w:spacing w:line="252" w:lineRule="auto"/>
        <w:ind w:left="142" w:right="38"/>
        <w:jc w:val="both"/>
        <w:rPr>
          <w:color w:val="000000" w:themeColor="text1"/>
        </w:rPr>
      </w:pPr>
      <w:r w:rsidRPr="003B53BC">
        <w:rPr>
          <w:color w:val="000000" w:themeColor="text1"/>
        </w:rPr>
        <w:t>To conduct a thorough examination of the role of Islamic microfinance in the agricultural sector within ASEAN countries, a systematic and structured approach will be employed. This methodology delineates the steps involved in conducting the thematic literature review</w:t>
      </w:r>
      <w:r w:rsidR="00802B24">
        <w:rPr>
          <w:color w:val="000000" w:themeColor="text1"/>
        </w:rPr>
        <w:t xml:space="preserve"> (Kwok, 2017)</w:t>
      </w:r>
      <w:r w:rsidRPr="003B53BC">
        <w:rPr>
          <w:color w:val="000000" w:themeColor="text1"/>
        </w:rPr>
        <w:t>. Firstly, the scope and objectives of the review will be clearly defined, aiming to explore the integration and impact of Islamic microfinance in the agricultural market. Secondly, a comprehensive search strategy will be implemented, utilizing academic databases and industry reports, guided by carefully selected keywords related to “Islamic microfinance”, “agriculture”, and “ASEAN countries”. Thirdly, inclusion and exclusion criteria will be established to filter relevant literature, prioritizing peer-reviewed articles, industry reports, and case studies published within the last decade. Fourthly, data collection and analysis will be conducted systematically, categorizing information based on key themes such as the agricultural market situation, implementation of Islamic microfinance, and impacts and challenges faced. Thematic analysis will be employed to identify patterns, trends, and gaps in the literature</w:t>
      </w:r>
      <w:r w:rsidR="00802B24">
        <w:rPr>
          <w:color w:val="000000" w:themeColor="text1"/>
        </w:rPr>
        <w:t xml:space="preserve"> (</w:t>
      </w:r>
      <w:proofErr w:type="spellStart"/>
      <w:r w:rsidR="00E22F20">
        <w:rPr>
          <w:color w:val="000000" w:themeColor="text1"/>
        </w:rPr>
        <w:t>Alhojailan</w:t>
      </w:r>
      <w:proofErr w:type="spellEnd"/>
      <w:r w:rsidR="00802B24">
        <w:rPr>
          <w:color w:val="000000" w:themeColor="text1"/>
        </w:rPr>
        <w:t>, 2012)</w:t>
      </w:r>
      <w:r w:rsidRPr="003B53BC">
        <w:rPr>
          <w:color w:val="000000" w:themeColor="text1"/>
        </w:rPr>
        <w:t>. Furthermore, the quality of included studies will be assessed to ensure the reliability and validity of findings. Finally, the findings will be synthesized and interpreted in relation to the research objectives, providing implications for practice and future research. By following this methodical approach, this paper endeavors to provide a comprehensive review of the role of Islamic microfinance in the ASEAN agricultural sector, contributing to a deeper understanding of this significant topic.</w:t>
      </w:r>
    </w:p>
    <w:p w14:paraId="52991808" w14:textId="77777777" w:rsidR="003B53BC" w:rsidRDefault="003B53BC" w:rsidP="003B53BC">
      <w:pPr>
        <w:pStyle w:val="BodyText"/>
        <w:spacing w:line="252" w:lineRule="auto"/>
        <w:ind w:left="142" w:right="38"/>
        <w:jc w:val="both"/>
        <w:rPr>
          <w:color w:val="000000" w:themeColor="text1"/>
        </w:rPr>
      </w:pPr>
    </w:p>
    <w:p w14:paraId="1513954A" w14:textId="68F55910" w:rsidR="0002459D" w:rsidRPr="003B53BC" w:rsidRDefault="0002459D" w:rsidP="0002459D">
      <w:pPr>
        <w:pStyle w:val="BodyText"/>
        <w:spacing w:line="252" w:lineRule="auto"/>
        <w:ind w:left="142" w:right="38"/>
        <w:jc w:val="center"/>
        <w:rPr>
          <w:color w:val="000000" w:themeColor="text1"/>
        </w:rPr>
      </w:pPr>
      <w:r w:rsidRPr="0002459D">
        <w:rPr>
          <w:color w:val="000000" w:themeColor="text1"/>
        </w:rPr>
        <w:t>Figure 1 Literature review process (own sources)</w:t>
      </w:r>
    </w:p>
    <w:p w14:paraId="563BCD70" w14:textId="6B24D9D4" w:rsidR="003B53BC" w:rsidRPr="003B53BC" w:rsidRDefault="003B53BC" w:rsidP="003B53BC">
      <w:pPr>
        <w:pStyle w:val="BodyText"/>
        <w:spacing w:line="252" w:lineRule="auto"/>
        <w:ind w:left="142" w:right="38"/>
        <w:jc w:val="both"/>
        <w:rPr>
          <w:color w:val="000000" w:themeColor="text1"/>
        </w:rPr>
      </w:pPr>
      <w:r w:rsidRPr="003B53BC">
        <w:rPr>
          <w:color w:val="000000" w:themeColor="text1"/>
        </w:rPr>
        <w:t xml:space="preserve"> </w:t>
      </w:r>
      <w:r w:rsidR="006727B5">
        <w:rPr>
          <w:noProof/>
          <w:color w:val="000000" w:themeColor="text1"/>
        </w:rPr>
        <w:drawing>
          <wp:inline distT="0" distB="0" distL="0" distR="0" wp14:anchorId="7FC59724" wp14:editId="79D04A95">
            <wp:extent cx="3225800" cy="1601470"/>
            <wp:effectExtent l="0" t="0" r="0" b="0"/>
            <wp:docPr id="55280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01542" name="Picture 5528015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5800" cy="1601470"/>
                    </a:xfrm>
                    <a:prstGeom prst="rect">
                      <a:avLst/>
                    </a:prstGeom>
                  </pic:spPr>
                </pic:pic>
              </a:graphicData>
            </a:graphic>
          </wp:inline>
        </w:drawing>
      </w:r>
    </w:p>
    <w:p w14:paraId="4F45160E" w14:textId="77777777" w:rsidR="003B53BC" w:rsidRPr="003B53BC" w:rsidRDefault="003B53BC" w:rsidP="003B53BC">
      <w:pPr>
        <w:pStyle w:val="BodyText"/>
        <w:spacing w:line="252" w:lineRule="auto"/>
        <w:ind w:left="142" w:right="38"/>
        <w:jc w:val="both"/>
        <w:rPr>
          <w:color w:val="000000" w:themeColor="text1"/>
        </w:rPr>
      </w:pPr>
    </w:p>
    <w:p w14:paraId="702DCE04" w14:textId="286C0528" w:rsidR="00864E3B" w:rsidRDefault="003B53BC" w:rsidP="003B53BC">
      <w:pPr>
        <w:pStyle w:val="BodyText"/>
        <w:spacing w:line="252" w:lineRule="auto"/>
        <w:ind w:left="142" w:right="38"/>
        <w:jc w:val="both"/>
        <w:rPr>
          <w:color w:val="000000" w:themeColor="text1"/>
        </w:rPr>
      </w:pPr>
      <w:r w:rsidRPr="003B53BC">
        <w:rPr>
          <w:color w:val="000000" w:themeColor="text1"/>
        </w:rPr>
        <w:t xml:space="preserve">In conducting this thematic literature review, a meticulous methodology will be employed to ensure the rigor and relevance of the findings. The review will begin by establishing clear criteria for inclusion and exclusion, focusing solely on literature directly addressing the integration of blockchain technology into Islamic financial systems. A comprehensive search strategy will then be implemented, utilizing academic databases and relevant sources to gather peer-reviewed articles, industry reports, and case studies published within the last decade. The collected literature will undergo systematic analysis, with data extraction </w:t>
      </w:r>
      <w:r w:rsidRPr="003B53BC">
        <w:rPr>
          <w:color w:val="000000" w:themeColor="text1"/>
        </w:rPr>
        <w:t>centered around key themes such as the advantages, challenges, and real-world applications of blockchain in Islamic microfinance within the ASEAN agricultural market. Thematic analysis will be conducted to identify common patterns and trends across the literature. Finally, the findings will be synthesized and interpreted, offering insights into the transformative potential of blockchain technology in enhancing Islamic microfinance within the ASEAN agricultural context. Through this structured approach, the review aims not only to summarize existing research but also to provide actionable recommendations for future practice and research in this evolving field.</w:t>
      </w:r>
    </w:p>
    <w:p w14:paraId="2521412F" w14:textId="77777777" w:rsidR="003B53BC" w:rsidRPr="00864E3B" w:rsidRDefault="003B53BC" w:rsidP="003B53BC">
      <w:pPr>
        <w:pStyle w:val="BodyText"/>
        <w:spacing w:line="252" w:lineRule="auto"/>
        <w:ind w:left="142" w:right="38"/>
        <w:jc w:val="both"/>
        <w:rPr>
          <w:color w:val="000000" w:themeColor="text1"/>
        </w:rPr>
      </w:pPr>
    </w:p>
    <w:p w14:paraId="13CE09C7" w14:textId="71694353" w:rsidR="003B53BC" w:rsidRDefault="003B53BC" w:rsidP="00B61863">
      <w:pPr>
        <w:pStyle w:val="Heading1"/>
        <w:numPr>
          <w:ilvl w:val="0"/>
          <w:numId w:val="8"/>
        </w:numPr>
        <w:tabs>
          <w:tab w:val="left" w:pos="2977"/>
        </w:tabs>
        <w:ind w:left="851"/>
        <w:jc w:val="left"/>
        <w:rPr>
          <w:color w:val="000000" w:themeColor="text1"/>
        </w:rPr>
      </w:pPr>
      <w:r>
        <w:rPr>
          <w:color w:val="000000" w:themeColor="text1"/>
        </w:rPr>
        <w:t>RESULT &amp; ANALYSIS</w:t>
      </w:r>
    </w:p>
    <w:p w14:paraId="1C1A72EB" w14:textId="77777777" w:rsidR="003B53BC" w:rsidRDefault="003B53BC" w:rsidP="003B53BC">
      <w:pPr>
        <w:pStyle w:val="Heading1"/>
        <w:tabs>
          <w:tab w:val="left" w:pos="2977"/>
        </w:tabs>
        <w:ind w:left="142" w:firstLine="0"/>
        <w:jc w:val="both"/>
        <w:rPr>
          <w:color w:val="000000" w:themeColor="text1"/>
        </w:rPr>
      </w:pPr>
    </w:p>
    <w:p w14:paraId="42DE201A" w14:textId="6BE34E6B" w:rsidR="003B53BC" w:rsidRPr="003B53BC" w:rsidRDefault="003B53BC" w:rsidP="003B53BC">
      <w:pPr>
        <w:pStyle w:val="BodyText"/>
        <w:spacing w:before="1" w:line="252" w:lineRule="auto"/>
        <w:ind w:left="0" w:right="42" w:firstLine="114"/>
        <w:jc w:val="both"/>
        <w:rPr>
          <w:b/>
          <w:bCs/>
          <w:color w:val="000000" w:themeColor="text1"/>
        </w:rPr>
      </w:pPr>
      <w:r w:rsidRPr="003B53BC">
        <w:rPr>
          <w:b/>
          <w:bCs/>
          <w:color w:val="000000" w:themeColor="text1"/>
        </w:rPr>
        <w:t>4.1 Agricultural market overview in ASEAN</w:t>
      </w:r>
    </w:p>
    <w:p w14:paraId="5E825398" w14:textId="77777777" w:rsidR="003B53BC" w:rsidRPr="003B53BC" w:rsidRDefault="003B53BC" w:rsidP="003B53BC">
      <w:pPr>
        <w:pStyle w:val="BodyText"/>
        <w:spacing w:before="1" w:line="252" w:lineRule="auto"/>
        <w:ind w:left="0" w:right="42"/>
        <w:jc w:val="both"/>
        <w:rPr>
          <w:color w:val="000000" w:themeColor="text1"/>
        </w:rPr>
      </w:pPr>
    </w:p>
    <w:p w14:paraId="48CDD95E"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The agricultural sector in ASEAN countries plays a pivotal role in both the economies and the societal structures of the region (</w:t>
      </w:r>
      <w:proofErr w:type="spellStart"/>
      <w:r w:rsidRPr="003B53BC">
        <w:rPr>
          <w:color w:val="000000" w:themeColor="text1"/>
        </w:rPr>
        <w:t>Shafiai</w:t>
      </w:r>
      <w:proofErr w:type="spellEnd"/>
      <w:r w:rsidRPr="003B53BC">
        <w:rPr>
          <w:color w:val="000000" w:themeColor="text1"/>
        </w:rPr>
        <w:t xml:space="preserve"> &amp; Moi, 2015). This overview delves deeper into aspects of the sector before connecting it to the critical research gap that exists at the intersection with Islamic microfinance.</w:t>
      </w:r>
    </w:p>
    <w:p w14:paraId="1C18BB40" w14:textId="77777777" w:rsidR="003B53BC" w:rsidRPr="003B53BC" w:rsidRDefault="003B53BC" w:rsidP="003B53BC">
      <w:pPr>
        <w:pStyle w:val="BodyText"/>
        <w:spacing w:before="1" w:line="252" w:lineRule="auto"/>
        <w:ind w:right="42"/>
        <w:jc w:val="both"/>
        <w:rPr>
          <w:color w:val="000000" w:themeColor="text1"/>
        </w:rPr>
      </w:pPr>
    </w:p>
    <w:p w14:paraId="7BD44064"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a.</w:t>
      </w:r>
      <w:r w:rsidRPr="003B53BC">
        <w:rPr>
          <w:color w:val="000000" w:themeColor="text1"/>
        </w:rPr>
        <w:tab/>
        <w:t>Economic Backbone For many ASEAN nations, the agricultural sector is the backbone of the economy, significantly contributing to GDP, employment, and local food security. It encompasses a vast range of activities from primary production to complex agro-industrial processing (Hoang, 2020).</w:t>
      </w:r>
    </w:p>
    <w:p w14:paraId="18B73ABC"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b.</w:t>
      </w:r>
      <w:r w:rsidRPr="003B53BC">
        <w:rPr>
          <w:color w:val="000000" w:themeColor="text1"/>
        </w:rPr>
        <w:tab/>
        <w:t>Rural Livelihoods</w:t>
      </w:r>
    </w:p>
    <w:p w14:paraId="48550242" w14:textId="4232165C"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Agriculture is more than just an income-generating activity; it is integral to the rural way of life. A significant portion of the ASEAN population relies on agriculture for their livelihoods, with smallholder farmers being the dominant demographic (Golan &amp; Kohli, 2013</w:t>
      </w:r>
      <w:r w:rsidR="00793C50">
        <w:rPr>
          <w:color w:val="000000" w:themeColor="text1"/>
        </w:rPr>
        <w:t xml:space="preserve">; </w:t>
      </w:r>
      <w:r w:rsidRPr="003B53BC">
        <w:rPr>
          <w:color w:val="000000" w:themeColor="text1"/>
        </w:rPr>
        <w:t>Ahmed, 2006).</w:t>
      </w:r>
    </w:p>
    <w:p w14:paraId="00446E27"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c.</w:t>
      </w:r>
      <w:r w:rsidRPr="003B53BC">
        <w:rPr>
          <w:color w:val="000000" w:themeColor="text1"/>
        </w:rPr>
        <w:tab/>
        <w:t>Infrastructure and Technology</w:t>
      </w:r>
    </w:p>
    <w:p w14:paraId="5C428F47"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The varying degrees of infrastructure and technological advancements across ASEAN member states influence agricultural productivity. While some areas benefit from modern farming techniques, others still rely on traditional methods (Tan et al., 2017).</w:t>
      </w:r>
    </w:p>
    <w:p w14:paraId="007F9115"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d.</w:t>
      </w:r>
      <w:r w:rsidRPr="003B53BC">
        <w:rPr>
          <w:color w:val="000000" w:themeColor="text1"/>
        </w:rPr>
        <w:tab/>
        <w:t>Policy and Institutional Support</w:t>
      </w:r>
    </w:p>
    <w:p w14:paraId="38ED7EEA" w14:textId="17ACDD99"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Governments across ASEAN have implemented policies aimed at agricultural development through subsidies, incentives, and support programs. Nevertheless, these measures show variable effectiveness across the region (</w:t>
      </w:r>
      <w:proofErr w:type="spellStart"/>
      <w:r w:rsidRPr="003B53BC">
        <w:rPr>
          <w:color w:val="000000" w:themeColor="text1"/>
        </w:rPr>
        <w:t>Alkayyis</w:t>
      </w:r>
      <w:proofErr w:type="spellEnd"/>
      <w:r w:rsidRPr="003B53BC">
        <w:rPr>
          <w:color w:val="000000" w:themeColor="text1"/>
        </w:rPr>
        <w:t xml:space="preserve"> et al., 2021</w:t>
      </w:r>
      <w:r w:rsidR="00793C50">
        <w:rPr>
          <w:color w:val="000000" w:themeColor="text1"/>
        </w:rPr>
        <w:t xml:space="preserve">; </w:t>
      </w:r>
      <w:r w:rsidRPr="003B53BC">
        <w:rPr>
          <w:color w:val="000000" w:themeColor="text1"/>
        </w:rPr>
        <w:t>Tan et al., 2017).</w:t>
      </w:r>
    </w:p>
    <w:p w14:paraId="0A2A97E7" w14:textId="77777777" w:rsidR="003B53BC" w:rsidRPr="003B53BC" w:rsidRDefault="003B53BC" w:rsidP="003B53BC">
      <w:pPr>
        <w:pStyle w:val="BodyText"/>
        <w:spacing w:before="1" w:line="252" w:lineRule="auto"/>
        <w:ind w:right="42"/>
        <w:jc w:val="both"/>
        <w:rPr>
          <w:color w:val="000000" w:themeColor="text1"/>
        </w:rPr>
      </w:pPr>
    </w:p>
    <w:p w14:paraId="1F121D09"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e.</w:t>
      </w:r>
      <w:r w:rsidRPr="003B53BC">
        <w:rPr>
          <w:color w:val="000000" w:themeColor="text1"/>
        </w:rPr>
        <w:tab/>
        <w:t xml:space="preserve">Sustainability and Environmental Changes </w:t>
      </w:r>
    </w:p>
    <w:p w14:paraId="14F0AAE1"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ASEAN countries are grappling with issues of sustainable agricultural practices and coping with the challenges posed by climate change, such as changing rainfall patterns and extreme weather events (</w:t>
      </w:r>
      <w:proofErr w:type="spellStart"/>
      <w:r w:rsidRPr="003B53BC">
        <w:rPr>
          <w:color w:val="000000" w:themeColor="text1"/>
        </w:rPr>
        <w:t>Nunti</w:t>
      </w:r>
      <w:proofErr w:type="spellEnd"/>
      <w:r w:rsidRPr="003B53BC">
        <w:rPr>
          <w:color w:val="000000" w:themeColor="text1"/>
        </w:rPr>
        <w:t xml:space="preserve"> et al., 2020).</w:t>
      </w:r>
    </w:p>
    <w:p w14:paraId="6FD82D96"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f.</w:t>
      </w:r>
      <w:r w:rsidRPr="003B53BC">
        <w:rPr>
          <w:color w:val="000000" w:themeColor="text1"/>
        </w:rPr>
        <w:tab/>
        <w:t>Evolution of Supply Chains</w:t>
      </w:r>
    </w:p>
    <w:p w14:paraId="5359C801"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The region is witnessing a shift toward more integrated and technology-enabled supply chains, which can increase efficiency but also come with new sets of financial needs (</w:t>
      </w:r>
      <w:proofErr w:type="spellStart"/>
      <w:r w:rsidRPr="003B53BC">
        <w:rPr>
          <w:color w:val="000000" w:themeColor="text1"/>
        </w:rPr>
        <w:t>Durugbo</w:t>
      </w:r>
      <w:proofErr w:type="spellEnd"/>
      <w:r w:rsidRPr="003B53BC">
        <w:rPr>
          <w:color w:val="000000" w:themeColor="text1"/>
        </w:rPr>
        <w:t xml:space="preserve"> et al., 2020).</w:t>
      </w:r>
    </w:p>
    <w:p w14:paraId="365AB996"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g.</w:t>
      </w:r>
      <w:r w:rsidRPr="003B53BC">
        <w:rPr>
          <w:color w:val="000000" w:themeColor="text1"/>
        </w:rPr>
        <w:tab/>
        <w:t>Innovation in Productivity and Quality</w:t>
      </w:r>
    </w:p>
    <w:p w14:paraId="518E868F"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 xml:space="preserve">There's increasing focus on not just quantity, but also the quality </w:t>
      </w:r>
      <w:r w:rsidRPr="003B53BC">
        <w:rPr>
          <w:color w:val="000000" w:themeColor="text1"/>
        </w:rPr>
        <w:lastRenderedPageBreak/>
        <w:t>and value addition of agricultural products, spurring innovation in the sector (Horton, 2018).</w:t>
      </w:r>
    </w:p>
    <w:p w14:paraId="63CCF855" w14:textId="77777777" w:rsidR="003B53BC" w:rsidRPr="003B53BC" w:rsidRDefault="003B53BC" w:rsidP="003B53BC">
      <w:pPr>
        <w:pStyle w:val="BodyText"/>
        <w:spacing w:before="1" w:line="252" w:lineRule="auto"/>
        <w:ind w:right="42"/>
        <w:jc w:val="both"/>
        <w:rPr>
          <w:color w:val="000000" w:themeColor="text1"/>
        </w:rPr>
      </w:pPr>
    </w:p>
    <w:p w14:paraId="495FD3A8" w14:textId="1439B3FB"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Despite clear indications of the importance of the agriculture sector in ASEAN and substantial discussions around Islamic microfinance, notably absent is a focused examination of how these two fields interact</w:t>
      </w:r>
      <w:r w:rsidR="00AE738E">
        <w:rPr>
          <w:color w:val="000000" w:themeColor="text1"/>
        </w:rPr>
        <w:t xml:space="preserve"> </w:t>
      </w:r>
      <w:r w:rsidRPr="003B53BC">
        <w:rPr>
          <w:color w:val="000000" w:themeColor="text1"/>
        </w:rPr>
        <w:t>(</w:t>
      </w:r>
      <w:proofErr w:type="spellStart"/>
      <w:r w:rsidRPr="003B53BC">
        <w:rPr>
          <w:color w:val="000000" w:themeColor="text1"/>
        </w:rPr>
        <w:t>Pushpanathan</w:t>
      </w:r>
      <w:proofErr w:type="spellEnd"/>
      <w:r w:rsidRPr="003B53BC">
        <w:rPr>
          <w:color w:val="000000" w:themeColor="text1"/>
        </w:rPr>
        <w:t>, 2023</w:t>
      </w:r>
      <w:r w:rsidR="00793C50">
        <w:rPr>
          <w:color w:val="000000" w:themeColor="text1"/>
        </w:rPr>
        <w:t xml:space="preserve">; </w:t>
      </w:r>
      <w:r w:rsidRPr="003B53BC">
        <w:rPr>
          <w:color w:val="000000" w:themeColor="text1"/>
        </w:rPr>
        <w:t xml:space="preserve">Kamal et al., 2022). According to </w:t>
      </w:r>
      <w:proofErr w:type="spellStart"/>
      <w:r w:rsidRPr="003B53BC">
        <w:rPr>
          <w:color w:val="000000" w:themeColor="text1"/>
        </w:rPr>
        <w:t>Wulandari</w:t>
      </w:r>
      <w:proofErr w:type="spellEnd"/>
      <w:r w:rsidRPr="003B53BC">
        <w:rPr>
          <w:color w:val="000000" w:themeColor="text1"/>
        </w:rPr>
        <w:t xml:space="preserve"> et al., </w:t>
      </w:r>
      <w:r w:rsidR="00AE738E">
        <w:rPr>
          <w:color w:val="000000" w:themeColor="text1"/>
        </w:rPr>
        <w:t>(</w:t>
      </w:r>
      <w:r w:rsidRPr="003B53BC">
        <w:rPr>
          <w:color w:val="000000" w:themeColor="text1"/>
        </w:rPr>
        <w:t>2016) studies on Islamic microfinance concentrate on its doctrinal basis, financial performance, or general impact on financial inclusion. Similarly, agricultural market research tends to focus on production methods, market dynamics, and policy impacts. However, the nuanced ways in which Islamic microfinance could support and be shaped by the unique features of the ASEAN agricultural sector remain less understood (</w:t>
      </w:r>
      <w:proofErr w:type="spellStart"/>
      <w:r w:rsidRPr="003B53BC">
        <w:rPr>
          <w:color w:val="000000" w:themeColor="text1"/>
        </w:rPr>
        <w:t>Fianto</w:t>
      </w:r>
      <w:proofErr w:type="spellEnd"/>
      <w:r w:rsidRPr="003B53BC">
        <w:rPr>
          <w:color w:val="000000" w:themeColor="text1"/>
        </w:rPr>
        <w:t xml:space="preserve"> et al., 2019).</w:t>
      </w:r>
    </w:p>
    <w:p w14:paraId="7C47BAC1" w14:textId="77777777" w:rsidR="003B53BC" w:rsidRPr="003B53BC" w:rsidRDefault="003B53BC" w:rsidP="003B53BC">
      <w:pPr>
        <w:pStyle w:val="BodyText"/>
        <w:spacing w:before="1" w:line="252" w:lineRule="auto"/>
        <w:ind w:right="42"/>
        <w:jc w:val="both"/>
        <w:rPr>
          <w:color w:val="000000" w:themeColor="text1"/>
        </w:rPr>
      </w:pPr>
    </w:p>
    <w:p w14:paraId="66D47F70" w14:textId="77777777" w:rsidR="003B53BC" w:rsidRPr="003B53BC" w:rsidRDefault="003B53BC" w:rsidP="003B53BC">
      <w:pPr>
        <w:pStyle w:val="BodyText"/>
        <w:spacing w:before="1" w:line="252" w:lineRule="auto"/>
        <w:ind w:right="42"/>
        <w:jc w:val="both"/>
        <w:rPr>
          <w:b/>
          <w:bCs/>
          <w:color w:val="000000" w:themeColor="text1"/>
        </w:rPr>
      </w:pPr>
      <w:r w:rsidRPr="003B53BC">
        <w:rPr>
          <w:b/>
          <w:bCs/>
          <w:color w:val="000000" w:themeColor="text1"/>
        </w:rPr>
        <w:t>4.2 Islamic microfinance implementation in ASEAN's agriculture</w:t>
      </w:r>
    </w:p>
    <w:p w14:paraId="0129D950" w14:textId="77777777" w:rsidR="003B53BC" w:rsidRPr="003B53BC" w:rsidRDefault="003B53BC" w:rsidP="003B53BC">
      <w:pPr>
        <w:pStyle w:val="BodyText"/>
        <w:spacing w:before="1" w:line="252" w:lineRule="auto"/>
        <w:ind w:right="42"/>
        <w:jc w:val="both"/>
        <w:rPr>
          <w:color w:val="000000" w:themeColor="text1"/>
        </w:rPr>
      </w:pPr>
    </w:p>
    <w:p w14:paraId="3D827B93"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The implementation of Islamic microfinance within ASEAN's agricultural sector reflects the synthesis of Islamic financial principles with the unique economic and cultural context of the region (</w:t>
      </w:r>
      <w:proofErr w:type="spellStart"/>
      <w:r w:rsidRPr="003B53BC">
        <w:rPr>
          <w:color w:val="000000" w:themeColor="text1"/>
        </w:rPr>
        <w:t>A'yun</w:t>
      </w:r>
      <w:proofErr w:type="spellEnd"/>
      <w:r w:rsidRPr="003B53BC">
        <w:rPr>
          <w:color w:val="000000" w:themeColor="text1"/>
        </w:rPr>
        <w:t>, 2020). Islamic microfinance offers financial services that comply with Shariah law, which prohibits interest (usury) and emphasizes risk-sharing, ethical investment, and social welfare (Rahman &amp; Dean, 2013). In the agricultural context, this can mean providing financial support to farmers who may be excluded from conventional banking due to religious beliefs or lack of collateral (Crane &amp; Leatham, 1993).</w:t>
      </w:r>
    </w:p>
    <w:p w14:paraId="51CB8201" w14:textId="77777777" w:rsidR="003B53BC" w:rsidRPr="003B53BC" w:rsidRDefault="003B53BC" w:rsidP="003B53BC">
      <w:pPr>
        <w:pStyle w:val="BodyText"/>
        <w:spacing w:before="1" w:line="252" w:lineRule="auto"/>
        <w:ind w:right="42"/>
        <w:jc w:val="both"/>
        <w:rPr>
          <w:color w:val="000000" w:themeColor="text1"/>
        </w:rPr>
      </w:pPr>
    </w:p>
    <w:p w14:paraId="0747503C"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 xml:space="preserve">Islamic microfinancing models such as Murabaha (cost-plus financing), </w:t>
      </w:r>
      <w:proofErr w:type="spellStart"/>
      <w:r w:rsidRPr="003B53BC">
        <w:rPr>
          <w:color w:val="000000" w:themeColor="text1"/>
        </w:rPr>
        <w:t>Mudarabah</w:t>
      </w:r>
      <w:proofErr w:type="spellEnd"/>
      <w:r w:rsidRPr="003B53BC">
        <w:rPr>
          <w:color w:val="000000" w:themeColor="text1"/>
        </w:rPr>
        <w:t xml:space="preserve"> (partnership financing), and </w:t>
      </w:r>
      <w:proofErr w:type="spellStart"/>
      <w:r w:rsidRPr="003B53BC">
        <w:rPr>
          <w:color w:val="000000" w:themeColor="text1"/>
        </w:rPr>
        <w:t>Ijara</w:t>
      </w:r>
      <w:proofErr w:type="spellEnd"/>
      <w:r w:rsidRPr="003B53BC">
        <w:rPr>
          <w:color w:val="000000" w:themeColor="text1"/>
        </w:rPr>
        <w:t xml:space="preserve"> (leasing) are used to accommodate the specific requirements of agricultural production, such as seasonality, the need for Halal inputs, and the unpredictability of harvest yields (</w:t>
      </w:r>
      <w:proofErr w:type="spellStart"/>
      <w:r w:rsidRPr="003B53BC">
        <w:rPr>
          <w:color w:val="000000" w:themeColor="text1"/>
        </w:rPr>
        <w:t>Darwanto</w:t>
      </w:r>
      <w:proofErr w:type="spellEnd"/>
      <w:r w:rsidRPr="003B53BC">
        <w:rPr>
          <w:color w:val="000000" w:themeColor="text1"/>
        </w:rPr>
        <w:t xml:space="preserve"> et al., 2019). These models offer various advantages, including aligning financing with crop cycles and allowing farmers to access funds without compromising their religious principles (Hossain et al., 2019).</w:t>
      </w:r>
    </w:p>
    <w:p w14:paraId="55DDC88A" w14:textId="77777777" w:rsidR="003B53BC" w:rsidRPr="003B53BC" w:rsidRDefault="003B53BC" w:rsidP="003B53BC">
      <w:pPr>
        <w:pStyle w:val="BodyText"/>
        <w:spacing w:before="1" w:line="252" w:lineRule="auto"/>
        <w:ind w:right="42"/>
        <w:jc w:val="both"/>
        <w:rPr>
          <w:color w:val="000000" w:themeColor="text1"/>
        </w:rPr>
      </w:pPr>
    </w:p>
    <w:p w14:paraId="38633F8F"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ASEAN's diverse agricultural landscape, with its mix of staple crops and high-value commodities, presents both opportunities and challenges for Islamic microfinance institutions (</w:t>
      </w:r>
      <w:proofErr w:type="spellStart"/>
      <w:r w:rsidRPr="003B53BC">
        <w:rPr>
          <w:color w:val="000000" w:themeColor="text1"/>
        </w:rPr>
        <w:t>Mubarok</w:t>
      </w:r>
      <w:proofErr w:type="spellEnd"/>
      <w:r w:rsidRPr="003B53BC">
        <w:rPr>
          <w:color w:val="000000" w:themeColor="text1"/>
        </w:rPr>
        <w:t>, 2021). They must navigate the intricacies of smallholder farming systems, fragmented land holdings, and rural infrastructures to reach their target audience effectively (</w:t>
      </w:r>
      <w:proofErr w:type="spellStart"/>
      <w:r w:rsidRPr="003B53BC">
        <w:rPr>
          <w:color w:val="000000" w:themeColor="text1"/>
        </w:rPr>
        <w:t>Almohamed</w:t>
      </w:r>
      <w:proofErr w:type="spellEnd"/>
      <w:r w:rsidRPr="003B53BC">
        <w:rPr>
          <w:color w:val="000000" w:themeColor="text1"/>
        </w:rPr>
        <w:t xml:space="preserve"> &amp; Cheikh, 2018). Additionally, the sector's exposure to natural events like droughts, floods, or pests adds complexity to financial planning and risk assessment (</w:t>
      </w:r>
      <w:proofErr w:type="spellStart"/>
      <w:r w:rsidRPr="003B53BC">
        <w:rPr>
          <w:color w:val="000000" w:themeColor="text1"/>
        </w:rPr>
        <w:t>Oostendorp</w:t>
      </w:r>
      <w:proofErr w:type="spellEnd"/>
      <w:r w:rsidRPr="003B53BC">
        <w:rPr>
          <w:color w:val="000000" w:themeColor="text1"/>
        </w:rPr>
        <w:t xml:space="preserve"> et al., 2019).</w:t>
      </w:r>
    </w:p>
    <w:p w14:paraId="528A1A3A" w14:textId="77777777" w:rsidR="003B53BC" w:rsidRPr="003B53BC" w:rsidRDefault="003B53BC" w:rsidP="003B53BC">
      <w:pPr>
        <w:pStyle w:val="BodyText"/>
        <w:spacing w:before="1" w:line="252" w:lineRule="auto"/>
        <w:ind w:right="42"/>
        <w:jc w:val="both"/>
        <w:rPr>
          <w:color w:val="000000" w:themeColor="text1"/>
        </w:rPr>
      </w:pPr>
    </w:p>
    <w:p w14:paraId="171D15A3"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Despite the growing body of literature on Islamic microfinance and its implementation in various sectors, including agriculture within ASEAN countries, there remains a research gap in understanding the nuances of Islamic microfinance specifically tailored to the agricultural context (</w:t>
      </w:r>
      <w:proofErr w:type="spellStart"/>
      <w:r w:rsidRPr="003B53BC">
        <w:rPr>
          <w:color w:val="000000" w:themeColor="text1"/>
        </w:rPr>
        <w:t>Rohman</w:t>
      </w:r>
      <w:proofErr w:type="spellEnd"/>
      <w:r w:rsidRPr="003B53BC">
        <w:rPr>
          <w:color w:val="000000" w:themeColor="text1"/>
        </w:rPr>
        <w:t xml:space="preserve"> et al., 2021). Current studies often provide general overviews or case studies without delving into the intricacies of how Islamic microfinance products and services are designed, delivered, and adapted to meet the </w:t>
      </w:r>
      <w:r w:rsidRPr="003B53BC">
        <w:rPr>
          <w:color w:val="000000" w:themeColor="text1"/>
        </w:rPr>
        <w:t>unique needs and challenges of agricultural stakeholders in ASEAN (</w:t>
      </w:r>
      <w:proofErr w:type="spellStart"/>
      <w:r w:rsidRPr="003B53BC">
        <w:rPr>
          <w:color w:val="000000" w:themeColor="text1"/>
        </w:rPr>
        <w:t>Fianto</w:t>
      </w:r>
      <w:proofErr w:type="spellEnd"/>
      <w:r w:rsidRPr="003B53BC">
        <w:rPr>
          <w:color w:val="000000" w:themeColor="text1"/>
        </w:rPr>
        <w:t xml:space="preserve"> et al., 2019).</w:t>
      </w:r>
    </w:p>
    <w:p w14:paraId="51D3DDA3" w14:textId="77777777" w:rsidR="003B53BC" w:rsidRPr="003B53BC" w:rsidRDefault="003B53BC" w:rsidP="003B53BC">
      <w:pPr>
        <w:pStyle w:val="BodyText"/>
        <w:spacing w:before="1" w:line="252" w:lineRule="auto"/>
        <w:ind w:right="42"/>
        <w:jc w:val="both"/>
        <w:rPr>
          <w:color w:val="000000" w:themeColor="text1"/>
        </w:rPr>
      </w:pPr>
    </w:p>
    <w:p w14:paraId="47EAA4BC"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Therefore, further research is warranted to explore the specific mechanisms and best practices for implementing Islamic microfinance in ASEAN's agricultural sector (</w:t>
      </w:r>
      <w:proofErr w:type="spellStart"/>
      <w:r w:rsidRPr="003B53BC">
        <w:rPr>
          <w:color w:val="000000" w:themeColor="text1"/>
        </w:rPr>
        <w:t>Ningrat</w:t>
      </w:r>
      <w:proofErr w:type="spellEnd"/>
      <w:r w:rsidRPr="003B53BC">
        <w:rPr>
          <w:color w:val="000000" w:themeColor="text1"/>
        </w:rPr>
        <w:t xml:space="preserve"> &amp; </w:t>
      </w:r>
      <w:proofErr w:type="spellStart"/>
      <w:r w:rsidRPr="003B53BC">
        <w:rPr>
          <w:color w:val="000000" w:themeColor="text1"/>
        </w:rPr>
        <w:t>Nurzaman</w:t>
      </w:r>
      <w:proofErr w:type="spellEnd"/>
      <w:r w:rsidRPr="003B53BC">
        <w:rPr>
          <w:color w:val="000000" w:themeColor="text1"/>
        </w:rPr>
        <w:t>, 2019). This includes determining the most suitable Islamic microfinance models that can cater to the varied nature of agricultural activities, understanding how these models impact agricultural productivity and sustainability, and identifying the challenges in the delivery of services (</w:t>
      </w:r>
      <w:proofErr w:type="spellStart"/>
      <w:r w:rsidRPr="003B53BC">
        <w:rPr>
          <w:color w:val="000000" w:themeColor="text1"/>
        </w:rPr>
        <w:t>Almohamed</w:t>
      </w:r>
      <w:proofErr w:type="spellEnd"/>
      <w:r w:rsidRPr="003B53BC">
        <w:rPr>
          <w:color w:val="000000" w:themeColor="text1"/>
        </w:rPr>
        <w:t xml:space="preserve"> &amp; Cheikh, 2018). Such research should delve into the cross-sectional analysis between Islamic microfinance operations and agricultural market dynamics at the grassroots level (</w:t>
      </w:r>
      <w:proofErr w:type="spellStart"/>
      <w:r w:rsidRPr="003B53BC">
        <w:rPr>
          <w:color w:val="000000" w:themeColor="text1"/>
        </w:rPr>
        <w:t>Darwanto</w:t>
      </w:r>
      <w:proofErr w:type="spellEnd"/>
      <w:r w:rsidRPr="003B53BC">
        <w:rPr>
          <w:color w:val="000000" w:themeColor="text1"/>
        </w:rPr>
        <w:t xml:space="preserve"> et al., 2019).</w:t>
      </w:r>
    </w:p>
    <w:p w14:paraId="0FBE9711" w14:textId="77777777" w:rsidR="003B53BC" w:rsidRPr="003B53BC" w:rsidRDefault="003B53BC" w:rsidP="003B53BC">
      <w:pPr>
        <w:pStyle w:val="BodyText"/>
        <w:spacing w:before="1" w:line="252" w:lineRule="auto"/>
        <w:ind w:right="42"/>
        <w:jc w:val="both"/>
        <w:rPr>
          <w:color w:val="000000" w:themeColor="text1"/>
        </w:rPr>
      </w:pPr>
    </w:p>
    <w:p w14:paraId="1DB627B1" w14:textId="08B9A688"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Only with detailed exploratory studies and evidence-based analyses can policymakers, financial institutions, and agricultural developers ensure that Islamic microfinance products not only align with Shariah law but also effectively support rural development, alleviate poverty, and contribute to a more inclusive economic growth pattern within ASEAN's diverse agricultural landscape (Begum et al., 2019</w:t>
      </w:r>
      <w:r w:rsidR="00793C50">
        <w:rPr>
          <w:color w:val="000000" w:themeColor="text1"/>
        </w:rPr>
        <w:t xml:space="preserve">; </w:t>
      </w:r>
      <w:proofErr w:type="spellStart"/>
      <w:r w:rsidRPr="003B53BC">
        <w:rPr>
          <w:color w:val="000000" w:themeColor="text1"/>
        </w:rPr>
        <w:t>Ningrat</w:t>
      </w:r>
      <w:proofErr w:type="spellEnd"/>
      <w:r w:rsidRPr="003B53BC">
        <w:rPr>
          <w:color w:val="000000" w:themeColor="text1"/>
        </w:rPr>
        <w:t xml:space="preserve"> &amp; </w:t>
      </w:r>
      <w:proofErr w:type="spellStart"/>
      <w:r w:rsidRPr="003B53BC">
        <w:rPr>
          <w:color w:val="000000" w:themeColor="text1"/>
        </w:rPr>
        <w:t>Nurzaman</w:t>
      </w:r>
      <w:proofErr w:type="spellEnd"/>
      <w:r w:rsidRPr="003B53BC">
        <w:rPr>
          <w:color w:val="000000" w:themeColor="text1"/>
        </w:rPr>
        <w:t>, 2019).</w:t>
      </w:r>
    </w:p>
    <w:p w14:paraId="701D73D6" w14:textId="77777777" w:rsidR="003B53BC" w:rsidRPr="003B53BC" w:rsidRDefault="003B53BC" w:rsidP="003B53BC">
      <w:pPr>
        <w:pStyle w:val="BodyText"/>
        <w:spacing w:before="1" w:line="252" w:lineRule="auto"/>
        <w:ind w:right="42"/>
        <w:jc w:val="both"/>
        <w:rPr>
          <w:color w:val="000000" w:themeColor="text1"/>
        </w:rPr>
      </w:pPr>
    </w:p>
    <w:p w14:paraId="34F1BDF9" w14:textId="77777777" w:rsidR="003B53BC" w:rsidRPr="003B53BC" w:rsidRDefault="003B53BC" w:rsidP="003B53BC">
      <w:pPr>
        <w:pStyle w:val="BodyText"/>
        <w:spacing w:before="1" w:line="252" w:lineRule="auto"/>
        <w:ind w:right="42"/>
        <w:jc w:val="both"/>
        <w:rPr>
          <w:b/>
          <w:bCs/>
          <w:color w:val="000000" w:themeColor="text1"/>
        </w:rPr>
      </w:pPr>
      <w:r w:rsidRPr="003B53BC">
        <w:rPr>
          <w:b/>
          <w:bCs/>
          <w:color w:val="000000" w:themeColor="text1"/>
        </w:rPr>
        <w:t>4.3 Impacts and challenges of Islamic microfinance in ASEAN agriculture</w:t>
      </w:r>
    </w:p>
    <w:p w14:paraId="3911BC38" w14:textId="77777777" w:rsidR="003B53BC" w:rsidRPr="003B53BC" w:rsidRDefault="003B53BC" w:rsidP="003B53BC">
      <w:pPr>
        <w:pStyle w:val="BodyText"/>
        <w:spacing w:before="1" w:line="252" w:lineRule="auto"/>
        <w:ind w:right="42"/>
        <w:jc w:val="both"/>
        <w:rPr>
          <w:color w:val="000000" w:themeColor="text1"/>
        </w:rPr>
      </w:pPr>
    </w:p>
    <w:p w14:paraId="786E841C"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The impacts of Islamic microfinance in the agricultural sector of ASEAN countries are multifaceted and far-reaching. On one hand, the provision of Shariah-compliant financial services has the potential to improve financial inclusion among farmers, many of whom may be excluded from conventional financial systems due to religious beliefs, lack of formal credit history, or insufficient collateral (</w:t>
      </w:r>
      <w:proofErr w:type="spellStart"/>
      <w:r w:rsidRPr="003B53BC">
        <w:rPr>
          <w:color w:val="000000" w:themeColor="text1"/>
        </w:rPr>
        <w:t>Jouti</w:t>
      </w:r>
      <w:proofErr w:type="spellEnd"/>
      <w:r w:rsidRPr="003B53BC">
        <w:rPr>
          <w:color w:val="000000" w:themeColor="text1"/>
        </w:rPr>
        <w:t>, 2018). Islamic microfinance can enhance access to capital for buying seeds, equipment, and other inputs, thereby potentially increasing agricultural productivity and income (</w:t>
      </w:r>
      <w:proofErr w:type="spellStart"/>
      <w:r w:rsidRPr="003B53BC">
        <w:rPr>
          <w:color w:val="000000" w:themeColor="text1"/>
        </w:rPr>
        <w:t>Mobin</w:t>
      </w:r>
      <w:proofErr w:type="spellEnd"/>
      <w:r w:rsidRPr="003B53BC">
        <w:rPr>
          <w:color w:val="000000" w:themeColor="text1"/>
        </w:rPr>
        <w:t xml:space="preserve"> et al., 2017). It also embodies ethical investment principles that align with many communities' values, fostering broader community support and engagement (Lal &amp; Israel, 2006).</w:t>
      </w:r>
    </w:p>
    <w:p w14:paraId="42CF2939" w14:textId="77777777" w:rsidR="003B53BC" w:rsidRPr="003B53BC" w:rsidRDefault="003B53BC" w:rsidP="003B53BC">
      <w:pPr>
        <w:pStyle w:val="BodyText"/>
        <w:spacing w:before="1" w:line="252" w:lineRule="auto"/>
        <w:ind w:right="42"/>
        <w:jc w:val="both"/>
        <w:rPr>
          <w:color w:val="000000" w:themeColor="text1"/>
        </w:rPr>
      </w:pPr>
    </w:p>
    <w:p w14:paraId="206D3DB6"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Additionally, Islamic microfinance has the potential to promote sustainable development (Begum et al., 2019). By emphasizing ethical investment and social welfare, it can encourage farming practices that are environmentally responsible and sustainable (Bhuiyan et al., 2012). Risk-sharing models also mean that farmers may be less vulnerable to the financial impact of crop failures or other risks associated with agriculture (</w:t>
      </w:r>
      <w:proofErr w:type="spellStart"/>
      <w:r w:rsidRPr="003B53BC">
        <w:rPr>
          <w:color w:val="000000" w:themeColor="text1"/>
        </w:rPr>
        <w:t>Sporleder</w:t>
      </w:r>
      <w:proofErr w:type="spellEnd"/>
      <w:r w:rsidRPr="003B53BC">
        <w:rPr>
          <w:color w:val="000000" w:themeColor="text1"/>
        </w:rPr>
        <w:t>, 1999). However, challenges exist, such as ensuring the adequacy of Islamic microfinance services to meet the seasonal and cyclical nature of farming, addressing the risks posed by natural disasters and market fluctuations, and delivering services in rural areas with inadequate financial infrastructure (Obaidullah &amp; Khan, 2008).</w:t>
      </w:r>
    </w:p>
    <w:p w14:paraId="19E525F8" w14:textId="77777777" w:rsidR="003B53BC" w:rsidRPr="003B53BC" w:rsidRDefault="003B53BC" w:rsidP="003B53BC">
      <w:pPr>
        <w:pStyle w:val="BodyText"/>
        <w:spacing w:before="1" w:line="252" w:lineRule="auto"/>
        <w:ind w:right="42"/>
        <w:jc w:val="both"/>
        <w:rPr>
          <w:color w:val="000000" w:themeColor="text1"/>
        </w:rPr>
      </w:pPr>
    </w:p>
    <w:p w14:paraId="06EE4D13" w14:textId="77777777" w:rsidR="003B53BC" w:rsidRPr="003B53BC" w:rsidRDefault="003B53BC" w:rsidP="003B53BC">
      <w:pPr>
        <w:pStyle w:val="BodyText"/>
        <w:spacing w:before="1" w:line="252" w:lineRule="auto"/>
        <w:ind w:right="42"/>
        <w:jc w:val="both"/>
        <w:rPr>
          <w:color w:val="000000" w:themeColor="text1"/>
        </w:rPr>
      </w:pPr>
    </w:p>
    <w:p w14:paraId="7F0F8B4B"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 xml:space="preserve">Despite the recognition of these potential benefits, there is a notable research gap in comprehensively analyzing the specific impacts and challenges of Islamic microfinance in ASEAN's </w:t>
      </w:r>
      <w:r w:rsidRPr="003B53BC">
        <w:rPr>
          <w:color w:val="000000" w:themeColor="text1"/>
        </w:rPr>
        <w:lastRenderedPageBreak/>
        <w:t>agricultural sector (</w:t>
      </w:r>
      <w:proofErr w:type="spellStart"/>
      <w:r w:rsidRPr="003B53BC">
        <w:rPr>
          <w:color w:val="000000" w:themeColor="text1"/>
        </w:rPr>
        <w:t>Ningrat</w:t>
      </w:r>
      <w:proofErr w:type="spellEnd"/>
      <w:r w:rsidRPr="003B53BC">
        <w:rPr>
          <w:color w:val="000000" w:themeColor="text1"/>
        </w:rPr>
        <w:t xml:space="preserve"> &amp; </w:t>
      </w:r>
      <w:proofErr w:type="spellStart"/>
      <w:r w:rsidRPr="003B53BC">
        <w:rPr>
          <w:color w:val="000000" w:themeColor="text1"/>
        </w:rPr>
        <w:t>Nurzaman</w:t>
      </w:r>
      <w:proofErr w:type="spellEnd"/>
      <w:r w:rsidRPr="003B53BC">
        <w:rPr>
          <w:color w:val="000000" w:themeColor="text1"/>
        </w:rPr>
        <w:t>, 2019). While there is some literature on the broader implications of Islamic microfinance, in-depth research that systematically examines its specific socio-economic, environmental, and institutional impacts on agricultural stakeholders in ASEAN is lacking (</w:t>
      </w:r>
      <w:proofErr w:type="spellStart"/>
      <w:r w:rsidRPr="003B53BC">
        <w:rPr>
          <w:color w:val="000000" w:themeColor="text1"/>
        </w:rPr>
        <w:t>A'yun</w:t>
      </w:r>
      <w:proofErr w:type="spellEnd"/>
      <w:r w:rsidRPr="003B53BC">
        <w:rPr>
          <w:color w:val="000000" w:themeColor="text1"/>
        </w:rPr>
        <w:t>, 2020). There is also a need to examine how Islamic microfinance initiatives are contributing to the United Nations Sustainable Development Goals in the context of ASEAN agriculture (Ahmad &amp; Ahmad, 2021).</w:t>
      </w:r>
    </w:p>
    <w:p w14:paraId="125FC1B2" w14:textId="77777777" w:rsidR="003B53BC" w:rsidRPr="003B53BC" w:rsidRDefault="003B53BC" w:rsidP="003B53BC">
      <w:pPr>
        <w:pStyle w:val="BodyText"/>
        <w:spacing w:before="1" w:line="252" w:lineRule="auto"/>
        <w:ind w:right="42"/>
        <w:jc w:val="both"/>
        <w:rPr>
          <w:color w:val="000000" w:themeColor="text1"/>
        </w:rPr>
      </w:pPr>
    </w:p>
    <w:p w14:paraId="7E969078" w14:textId="77777777" w:rsidR="003B53BC" w:rsidRPr="003B53BC" w:rsidRDefault="003B53BC" w:rsidP="003B53BC">
      <w:pPr>
        <w:pStyle w:val="BodyText"/>
        <w:spacing w:before="1" w:line="252" w:lineRule="auto"/>
        <w:ind w:right="42"/>
        <w:jc w:val="both"/>
        <w:rPr>
          <w:color w:val="000000" w:themeColor="text1"/>
        </w:rPr>
      </w:pPr>
      <w:r w:rsidRPr="003B53BC">
        <w:rPr>
          <w:color w:val="000000" w:themeColor="text1"/>
        </w:rPr>
        <w:t>Moreover, the challenges encountered when implementing Islamic microfinance within this sector require further exploration (Rahman &amp; Dean, 2013). These challenges include adapting financial products to the unique realities of farming in different ASEAN countries, addressing the capacity of institutions to support such specialized financial services, and understanding the regulatory environments that govern Islamic finance in the agricultural context (Nur et al., 2023).</w:t>
      </w:r>
    </w:p>
    <w:p w14:paraId="71313E62" w14:textId="77777777" w:rsidR="003B53BC" w:rsidRPr="003B53BC" w:rsidRDefault="003B53BC" w:rsidP="003B53BC">
      <w:pPr>
        <w:pStyle w:val="BodyText"/>
        <w:spacing w:before="1" w:line="252" w:lineRule="auto"/>
        <w:ind w:right="42"/>
        <w:jc w:val="both"/>
        <w:rPr>
          <w:color w:val="000000" w:themeColor="text1"/>
        </w:rPr>
      </w:pPr>
    </w:p>
    <w:p w14:paraId="093319EF" w14:textId="0673E344" w:rsidR="003B53BC" w:rsidRPr="00947C46" w:rsidRDefault="003B53BC" w:rsidP="003B53BC">
      <w:pPr>
        <w:pStyle w:val="BodyText"/>
        <w:spacing w:before="1" w:line="252" w:lineRule="auto"/>
        <w:ind w:right="42"/>
        <w:jc w:val="both"/>
        <w:rPr>
          <w:color w:val="000000" w:themeColor="text1"/>
        </w:rPr>
      </w:pPr>
      <w:r w:rsidRPr="003B53BC">
        <w:rPr>
          <w:color w:val="000000" w:themeColor="text1"/>
        </w:rPr>
        <w:t>Further research is essential to not only evaluate these impacts and challenges but also to identify best practices and policy recommendations for optimizing the role of Islamic microfinance in ASEAN agriculture (</w:t>
      </w:r>
      <w:proofErr w:type="spellStart"/>
      <w:r w:rsidRPr="003B53BC">
        <w:rPr>
          <w:color w:val="000000" w:themeColor="text1"/>
        </w:rPr>
        <w:t>Fianto</w:t>
      </w:r>
      <w:proofErr w:type="spellEnd"/>
      <w:r w:rsidRPr="003B53BC">
        <w:rPr>
          <w:color w:val="000000" w:themeColor="text1"/>
        </w:rPr>
        <w:t xml:space="preserve"> et al., 2019</w:t>
      </w:r>
      <w:r w:rsidR="00793C50">
        <w:rPr>
          <w:color w:val="000000" w:themeColor="text1"/>
        </w:rPr>
        <w:t xml:space="preserve">; </w:t>
      </w:r>
      <w:proofErr w:type="spellStart"/>
      <w:r w:rsidRPr="003B53BC">
        <w:rPr>
          <w:color w:val="000000" w:themeColor="text1"/>
        </w:rPr>
        <w:t>Shafiai</w:t>
      </w:r>
      <w:proofErr w:type="spellEnd"/>
      <w:r w:rsidRPr="003B53BC">
        <w:rPr>
          <w:color w:val="000000" w:themeColor="text1"/>
        </w:rPr>
        <w:t xml:space="preserve"> &amp; Moi, 2015). This research should aim to provide actionable insights into improving financial services' design and delivery, enhancing the capacity of institutions, and strengthening regulatory frameworks to support the successful integration of Islamic microfinance into the ASEAN agricultural market (</w:t>
      </w:r>
      <w:proofErr w:type="spellStart"/>
      <w:r w:rsidRPr="003B53BC">
        <w:rPr>
          <w:color w:val="000000" w:themeColor="text1"/>
        </w:rPr>
        <w:t>Ningrat</w:t>
      </w:r>
      <w:proofErr w:type="spellEnd"/>
      <w:r w:rsidRPr="003B53BC">
        <w:rPr>
          <w:color w:val="000000" w:themeColor="text1"/>
        </w:rPr>
        <w:t xml:space="preserve"> &amp; </w:t>
      </w:r>
      <w:proofErr w:type="spellStart"/>
      <w:r w:rsidRPr="003B53BC">
        <w:rPr>
          <w:color w:val="000000" w:themeColor="text1"/>
        </w:rPr>
        <w:t>Nurzaman</w:t>
      </w:r>
      <w:proofErr w:type="spellEnd"/>
      <w:r w:rsidRPr="003B53BC">
        <w:rPr>
          <w:color w:val="000000" w:themeColor="text1"/>
        </w:rPr>
        <w:t>, 2019). Such studies could facilitate targeted interventions that enable Islamic microfinance to contribute more effectively to rural development, poverty alleviation, and inclusive economic growth in the region (</w:t>
      </w:r>
      <w:proofErr w:type="spellStart"/>
      <w:r w:rsidRPr="003B53BC">
        <w:rPr>
          <w:color w:val="000000" w:themeColor="text1"/>
        </w:rPr>
        <w:t>Sabiti</w:t>
      </w:r>
      <w:proofErr w:type="spellEnd"/>
      <w:r w:rsidRPr="003B53BC">
        <w:rPr>
          <w:color w:val="000000" w:themeColor="text1"/>
        </w:rPr>
        <w:t xml:space="preserve"> &amp; Effendi, 2017).</w:t>
      </w:r>
    </w:p>
    <w:p w14:paraId="7CF505C1" w14:textId="0876A1B2" w:rsidR="003B53BC" w:rsidRPr="003B53BC" w:rsidRDefault="003B53BC" w:rsidP="003B53BC">
      <w:pPr>
        <w:pStyle w:val="Heading1"/>
        <w:tabs>
          <w:tab w:val="left" w:pos="2977"/>
        </w:tabs>
        <w:ind w:left="142" w:firstLine="0"/>
        <w:jc w:val="both"/>
        <w:rPr>
          <w:b w:val="0"/>
          <w:bCs w:val="0"/>
          <w:color w:val="000000" w:themeColor="text1"/>
        </w:rPr>
      </w:pPr>
    </w:p>
    <w:p w14:paraId="32BB0576" w14:textId="77777777" w:rsidR="003B53BC" w:rsidRDefault="003B53BC" w:rsidP="003B53BC">
      <w:pPr>
        <w:pStyle w:val="Heading1"/>
        <w:tabs>
          <w:tab w:val="left" w:pos="2977"/>
        </w:tabs>
        <w:ind w:left="142" w:firstLine="0"/>
        <w:jc w:val="both"/>
        <w:rPr>
          <w:color w:val="000000" w:themeColor="text1"/>
        </w:rPr>
      </w:pPr>
    </w:p>
    <w:p w14:paraId="4E05144E" w14:textId="47E49243" w:rsidR="00CD0D57" w:rsidRDefault="00341E70" w:rsidP="00FD3CA4">
      <w:pPr>
        <w:pStyle w:val="Heading1"/>
        <w:numPr>
          <w:ilvl w:val="0"/>
          <w:numId w:val="8"/>
        </w:numPr>
        <w:tabs>
          <w:tab w:val="left" w:pos="2977"/>
        </w:tabs>
        <w:ind w:left="851"/>
        <w:jc w:val="center"/>
        <w:rPr>
          <w:color w:val="000000" w:themeColor="text1"/>
        </w:rPr>
      </w:pPr>
      <w:r>
        <w:rPr>
          <w:color w:val="000000" w:themeColor="text1"/>
        </w:rPr>
        <w:t>CONCLUSION</w:t>
      </w:r>
    </w:p>
    <w:p w14:paraId="33E8DEA9" w14:textId="77777777" w:rsidR="00CD0D57" w:rsidRPr="00947C46" w:rsidRDefault="00CD0D57">
      <w:pPr>
        <w:pStyle w:val="BodyText"/>
        <w:spacing w:before="1"/>
        <w:ind w:left="0"/>
        <w:rPr>
          <w:b/>
          <w:color w:val="000000" w:themeColor="text1"/>
          <w:sz w:val="21"/>
        </w:rPr>
      </w:pPr>
    </w:p>
    <w:p w14:paraId="18E5B138" w14:textId="77777777" w:rsidR="003B53BC" w:rsidRPr="003B53BC" w:rsidRDefault="003B53BC" w:rsidP="003B53BC">
      <w:pPr>
        <w:pStyle w:val="BodyText"/>
        <w:spacing w:before="1" w:line="252" w:lineRule="auto"/>
        <w:ind w:right="110"/>
        <w:jc w:val="both"/>
        <w:rPr>
          <w:b/>
          <w:bCs/>
          <w:color w:val="000000" w:themeColor="text1"/>
        </w:rPr>
      </w:pPr>
      <w:r w:rsidRPr="003B53BC">
        <w:rPr>
          <w:b/>
          <w:bCs/>
          <w:color w:val="000000" w:themeColor="text1"/>
        </w:rPr>
        <w:t xml:space="preserve">Conclusion </w:t>
      </w:r>
    </w:p>
    <w:p w14:paraId="3ECC70F5" w14:textId="77777777" w:rsidR="003B53BC" w:rsidRPr="003B53BC" w:rsidRDefault="003B53BC" w:rsidP="003B53BC">
      <w:pPr>
        <w:pStyle w:val="BodyText"/>
        <w:spacing w:before="1" w:line="252" w:lineRule="auto"/>
        <w:ind w:right="110"/>
        <w:jc w:val="both"/>
        <w:rPr>
          <w:color w:val="000000" w:themeColor="text1"/>
        </w:rPr>
      </w:pPr>
      <w:r w:rsidRPr="003B53BC">
        <w:rPr>
          <w:color w:val="000000" w:themeColor="text1"/>
        </w:rPr>
        <w:t>In conclusion, the review of the emerging agricultural market in the ASEAN region and its intersection with Islamic microfinance reveals significant potential for addressing financial inclusion and promoting sustainable development. The synthesis of Islamic finance principles with agricultural financing offers a promising avenue for empowering small-scale farmers and rural communities, particularly in Muslim-majority countries. However, several challenges must be addressed to realize the full benefits of Islamic microfinance in ASEAN's agriculture, including the need for tailored financial products, infrastructure development, and regulatory frameworks conducive to Shariah-compliant banking. Despite these challenges, the increasing attention from governments, financial institutions, and researchers underscores the importance of further exploration and innovation in this field.</w:t>
      </w:r>
    </w:p>
    <w:p w14:paraId="44164903" w14:textId="77777777" w:rsidR="003B53BC" w:rsidRPr="003B53BC" w:rsidRDefault="003B53BC" w:rsidP="003B53BC">
      <w:pPr>
        <w:pStyle w:val="BodyText"/>
        <w:spacing w:before="1" w:line="252" w:lineRule="auto"/>
        <w:ind w:right="110"/>
        <w:jc w:val="both"/>
        <w:rPr>
          <w:color w:val="000000" w:themeColor="text1"/>
        </w:rPr>
      </w:pPr>
    </w:p>
    <w:p w14:paraId="25FBC20C" w14:textId="77777777" w:rsidR="003B53BC" w:rsidRPr="003B53BC" w:rsidRDefault="003B53BC" w:rsidP="003B53BC">
      <w:pPr>
        <w:pStyle w:val="BodyText"/>
        <w:spacing w:before="1" w:line="252" w:lineRule="auto"/>
        <w:ind w:right="110"/>
        <w:jc w:val="both"/>
        <w:rPr>
          <w:b/>
          <w:bCs/>
          <w:color w:val="000000" w:themeColor="text1"/>
        </w:rPr>
      </w:pPr>
      <w:r w:rsidRPr="003B53BC">
        <w:rPr>
          <w:b/>
          <w:bCs/>
          <w:color w:val="000000" w:themeColor="text1"/>
        </w:rPr>
        <w:t>Limitation</w:t>
      </w:r>
    </w:p>
    <w:p w14:paraId="4650048D" w14:textId="77777777" w:rsidR="003B53BC" w:rsidRPr="003B53BC" w:rsidRDefault="003B53BC" w:rsidP="003B53BC">
      <w:pPr>
        <w:pStyle w:val="BodyText"/>
        <w:spacing w:before="1" w:line="252" w:lineRule="auto"/>
        <w:ind w:right="110"/>
        <w:jc w:val="both"/>
        <w:rPr>
          <w:color w:val="000000" w:themeColor="text1"/>
        </w:rPr>
      </w:pPr>
      <w:r w:rsidRPr="003B53BC">
        <w:rPr>
          <w:color w:val="000000" w:themeColor="text1"/>
        </w:rPr>
        <w:t xml:space="preserve">While this review provides valuable insights into the potential of Islamic microfinance in the ASEAN agricultural market, it is not without limitations. The scope of the review may not encompass all relevant studies and perspectives, and the analysis </w:t>
      </w:r>
      <w:r w:rsidRPr="003B53BC">
        <w:rPr>
          <w:color w:val="000000" w:themeColor="text1"/>
        </w:rPr>
        <w:t>relies heavily on existing literature, which may be subject to bias or limitations in data availability. Additionally, the dynamic nature of both the agricultural sector and Islamic finance means that some information may become outdated or superseded by new developments.</w:t>
      </w:r>
    </w:p>
    <w:p w14:paraId="06CB65ED" w14:textId="77777777" w:rsidR="003B53BC" w:rsidRPr="003B53BC" w:rsidRDefault="003B53BC" w:rsidP="003B53BC">
      <w:pPr>
        <w:pStyle w:val="BodyText"/>
        <w:spacing w:before="1" w:line="252" w:lineRule="auto"/>
        <w:ind w:right="110"/>
        <w:jc w:val="both"/>
        <w:rPr>
          <w:color w:val="000000" w:themeColor="text1"/>
        </w:rPr>
      </w:pPr>
    </w:p>
    <w:p w14:paraId="4411DA43" w14:textId="77777777" w:rsidR="003B53BC" w:rsidRPr="003B53BC" w:rsidRDefault="003B53BC" w:rsidP="003B53BC">
      <w:pPr>
        <w:pStyle w:val="BodyText"/>
        <w:spacing w:before="1" w:line="252" w:lineRule="auto"/>
        <w:ind w:right="110"/>
        <w:jc w:val="both"/>
        <w:rPr>
          <w:b/>
          <w:bCs/>
          <w:color w:val="000000" w:themeColor="text1"/>
        </w:rPr>
      </w:pPr>
      <w:r w:rsidRPr="003B53BC">
        <w:rPr>
          <w:b/>
          <w:bCs/>
          <w:color w:val="000000" w:themeColor="text1"/>
        </w:rPr>
        <w:t>Implication</w:t>
      </w:r>
    </w:p>
    <w:p w14:paraId="7BEF19C6" w14:textId="77777777" w:rsidR="003B53BC" w:rsidRPr="003B53BC" w:rsidRDefault="003B53BC" w:rsidP="003B53BC">
      <w:pPr>
        <w:pStyle w:val="BodyText"/>
        <w:spacing w:before="1" w:line="252" w:lineRule="auto"/>
        <w:ind w:right="110"/>
        <w:jc w:val="both"/>
        <w:rPr>
          <w:color w:val="000000" w:themeColor="text1"/>
        </w:rPr>
      </w:pPr>
      <w:r w:rsidRPr="003B53BC">
        <w:rPr>
          <w:color w:val="000000" w:themeColor="text1"/>
        </w:rPr>
        <w:t>The findings of this review have several implications for policymakers, financial institutions, and researchers interested in Islamic microfinance and agricultural development in ASEAN. Firstly, there is a need for targeted interventions to address the specific financial needs of small-scale farmers and rural communities, including the development of innovative financial products and services tailored to their requirements. Secondly, efforts should be made to enhance financial literacy and awareness among agricultural stakeholders to promote the uptake of Islamic microfinance and ensure its sustainable impact. Lastly, policymakers should create an enabling environment for Islamic microfinance through supportive regulatory frameworks and infrastructure investment to facilitate its integration into the broader financial ecosystem.</w:t>
      </w:r>
    </w:p>
    <w:p w14:paraId="1EBCAE2D" w14:textId="77777777" w:rsidR="003B53BC" w:rsidRPr="003B53BC" w:rsidRDefault="003B53BC" w:rsidP="003B53BC">
      <w:pPr>
        <w:pStyle w:val="BodyText"/>
        <w:spacing w:before="1" w:line="252" w:lineRule="auto"/>
        <w:ind w:right="110"/>
        <w:jc w:val="both"/>
        <w:rPr>
          <w:color w:val="000000" w:themeColor="text1"/>
        </w:rPr>
      </w:pPr>
    </w:p>
    <w:p w14:paraId="4772C7E4" w14:textId="77777777" w:rsidR="003B53BC" w:rsidRPr="003B53BC" w:rsidRDefault="003B53BC" w:rsidP="003B53BC">
      <w:pPr>
        <w:pStyle w:val="BodyText"/>
        <w:spacing w:before="1" w:line="252" w:lineRule="auto"/>
        <w:ind w:right="110"/>
        <w:jc w:val="both"/>
        <w:rPr>
          <w:b/>
          <w:bCs/>
          <w:color w:val="000000" w:themeColor="text1"/>
        </w:rPr>
      </w:pPr>
      <w:r w:rsidRPr="003B53BC">
        <w:rPr>
          <w:b/>
          <w:bCs/>
          <w:color w:val="000000" w:themeColor="text1"/>
        </w:rPr>
        <w:t>Suggestions for Future Research</w:t>
      </w:r>
    </w:p>
    <w:p w14:paraId="69BB58E4" w14:textId="2D5571D7" w:rsidR="003B53BC" w:rsidRPr="00072DB8" w:rsidRDefault="003B53BC" w:rsidP="00072DB8">
      <w:pPr>
        <w:pStyle w:val="BodyText"/>
        <w:spacing w:before="1" w:line="252" w:lineRule="auto"/>
        <w:ind w:right="110"/>
        <w:jc w:val="both"/>
        <w:rPr>
          <w:color w:val="000000" w:themeColor="text1"/>
        </w:rPr>
      </w:pPr>
      <w:r w:rsidRPr="003B53BC">
        <w:rPr>
          <w:color w:val="000000" w:themeColor="text1"/>
        </w:rPr>
        <w:t>Moving forward, future research in this area should focus on addressing the identified research gaps and advancing our understanding of the role of Islamic microfinance in ASEAN agriculture. Specifically, studies could explore the impact of Islamic microfinance on agricultural productivity, income generation, and poverty alleviation, using both quantitative and qualitative methods to provide comprehensive insights. Additionally, there is a need for comparative analyses across different ASEAN countries to understand the contextual factors influencing the adoption and effectiveness of Islamic microfinance initiatives. Furthermore, research could delve into the potential synergies between Islamic microfinance and other agricultural development interventions, such as technology adoption and value chain enhancement, to maximize their combined impact on rural livelihoods and sustainable development in the region. Overall, future research efforts should aim to inform evidence-based policies and practices that leverage the potential of Islamic microfinance to promote inclusive and sustainable agricultural growth in ASEAN.</w:t>
      </w:r>
    </w:p>
    <w:p w14:paraId="730550BA" w14:textId="77777777" w:rsidR="003B53BC" w:rsidRDefault="003B53BC">
      <w:pPr>
        <w:pStyle w:val="BodyText"/>
        <w:spacing w:before="1"/>
        <w:ind w:left="0"/>
        <w:rPr>
          <w:color w:val="000000" w:themeColor="text1"/>
          <w:sz w:val="25"/>
        </w:rPr>
      </w:pPr>
    </w:p>
    <w:p w14:paraId="4D2EE5AE" w14:textId="77777777" w:rsidR="003B53BC" w:rsidRPr="00947C46" w:rsidRDefault="003B53BC">
      <w:pPr>
        <w:pStyle w:val="BodyText"/>
        <w:spacing w:before="1"/>
        <w:ind w:left="0"/>
        <w:rPr>
          <w:color w:val="000000" w:themeColor="text1"/>
          <w:sz w:val="25"/>
        </w:rPr>
      </w:pPr>
    </w:p>
    <w:p w14:paraId="541E2091" w14:textId="0E167BC5" w:rsidR="003B53BC" w:rsidRPr="003B53BC" w:rsidRDefault="009247FF" w:rsidP="003B53BC">
      <w:pPr>
        <w:pStyle w:val="Heading1"/>
        <w:spacing w:before="1"/>
        <w:ind w:left="1842" w:firstLine="0"/>
        <w:rPr>
          <w:color w:val="000000" w:themeColor="text1"/>
        </w:rPr>
      </w:pPr>
      <w:r w:rsidRPr="00947C46">
        <w:rPr>
          <w:color w:val="000000" w:themeColor="text1"/>
        </w:rPr>
        <w:t>REFERENCES</w:t>
      </w:r>
    </w:p>
    <w:p w14:paraId="48E86E29" w14:textId="77777777" w:rsidR="00147C84" w:rsidRDefault="00147C84" w:rsidP="00147C84">
      <w:pPr>
        <w:spacing w:before="13" w:line="254" w:lineRule="auto"/>
        <w:ind w:left="454" w:right="45" w:hanging="340"/>
        <w:jc w:val="both"/>
        <w:rPr>
          <w:color w:val="000000" w:themeColor="text1"/>
          <w:sz w:val="18"/>
        </w:rPr>
      </w:pPr>
    </w:p>
    <w:p w14:paraId="17391CD8" w14:textId="10C385ED" w:rsidR="00BB4270" w:rsidRDefault="00BB4270" w:rsidP="00E22F20">
      <w:pPr>
        <w:spacing w:before="13" w:line="254" w:lineRule="auto"/>
        <w:ind w:left="454" w:right="45" w:hanging="340"/>
        <w:jc w:val="both"/>
        <w:rPr>
          <w:color w:val="000000" w:themeColor="text1"/>
          <w:sz w:val="18"/>
        </w:rPr>
      </w:pPr>
    </w:p>
    <w:p w14:paraId="31634C82"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A'yun</w:t>
      </w:r>
      <w:proofErr w:type="spellEnd"/>
      <w:r w:rsidRPr="00E22F20">
        <w:rPr>
          <w:color w:val="000000" w:themeColor="text1"/>
          <w:sz w:val="18"/>
        </w:rPr>
        <w:t xml:space="preserve">, A </w:t>
      </w:r>
      <w:proofErr w:type="spellStart"/>
      <w:r w:rsidRPr="00E22F20">
        <w:rPr>
          <w:color w:val="000000" w:themeColor="text1"/>
          <w:sz w:val="18"/>
        </w:rPr>
        <w:t>A</w:t>
      </w:r>
      <w:proofErr w:type="spellEnd"/>
      <w:r w:rsidRPr="00E22F20">
        <w:rPr>
          <w:color w:val="000000" w:themeColor="text1"/>
          <w:sz w:val="18"/>
        </w:rPr>
        <w:t>. (2020, December 3). Micro, Small and Medium Enterprises Financing in Islamic Rural Banks in Indonesia. Al-Falah, 5(2), 149-149. https://doi.org/10.29240/alfalah.v5i2.1188</w:t>
      </w:r>
    </w:p>
    <w:p w14:paraId="497AE035"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Ahmad, R A., &amp; Ahmad, H F. (2021, December 27). The role of Islamic microfinance towards SDGs 2030 from poverty alleviation. Islamic economics journal, 7(2), 150-150. https://doi.org/10.21111/iej.v7i2.7105</w:t>
      </w:r>
    </w:p>
    <w:p w14:paraId="09F827F3"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Ahmed, M U. (2006, July 1). Rural Development and Poverty Alleviation through Promotion of Rural Non-farm Activities in the Asia-Pacific Region: Review of Evidence, Patterns and Issues. Asia-Pacific Journal of Rural Development, 16(1), 79-101. https://doi.org/10.1177/1018529120060103</w:t>
      </w:r>
    </w:p>
    <w:p w14:paraId="10214ED3" w14:textId="77777777" w:rsid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lastRenderedPageBreak/>
        <w:t>Alkayyis</w:t>
      </w:r>
      <w:proofErr w:type="spellEnd"/>
      <w:r w:rsidRPr="00E22F20">
        <w:rPr>
          <w:color w:val="000000" w:themeColor="text1"/>
          <w:sz w:val="18"/>
        </w:rPr>
        <w:t xml:space="preserve">, M Y., </w:t>
      </w:r>
      <w:proofErr w:type="spellStart"/>
      <w:r w:rsidRPr="00E22F20">
        <w:rPr>
          <w:color w:val="000000" w:themeColor="text1"/>
          <w:sz w:val="18"/>
        </w:rPr>
        <w:t>Sudibyo</w:t>
      </w:r>
      <w:proofErr w:type="spellEnd"/>
      <w:r w:rsidRPr="00E22F20">
        <w:rPr>
          <w:color w:val="000000" w:themeColor="text1"/>
          <w:sz w:val="18"/>
        </w:rPr>
        <w:t xml:space="preserve">, D P., &amp; </w:t>
      </w:r>
      <w:proofErr w:type="spellStart"/>
      <w:r w:rsidRPr="00E22F20">
        <w:rPr>
          <w:color w:val="000000" w:themeColor="text1"/>
          <w:sz w:val="18"/>
        </w:rPr>
        <w:t>Setyowati</w:t>
      </w:r>
      <w:proofErr w:type="spellEnd"/>
      <w:r w:rsidRPr="00E22F20">
        <w:rPr>
          <w:color w:val="000000" w:themeColor="text1"/>
          <w:sz w:val="18"/>
        </w:rPr>
        <w:t>, K. (2021, November 1). Agri-environmental policies in Indonesian and Thailand: a comparison. https://doi.org/10.1088/1755-1315/905/1/012144</w:t>
      </w:r>
    </w:p>
    <w:p w14:paraId="4CC25107" w14:textId="177F8F3F"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Alhojailan</w:t>
      </w:r>
      <w:proofErr w:type="spellEnd"/>
      <w:r w:rsidRPr="00E22F20">
        <w:rPr>
          <w:color w:val="000000" w:themeColor="text1"/>
          <w:sz w:val="18"/>
        </w:rPr>
        <w:t xml:space="preserve">, M. I. (2012). Thematic analysis: a critical review </w:t>
      </w:r>
      <w:proofErr w:type="spellStart"/>
      <w:r w:rsidRPr="00E22F20">
        <w:rPr>
          <w:color w:val="000000" w:themeColor="text1"/>
          <w:sz w:val="18"/>
        </w:rPr>
        <w:t>ofits</w:t>
      </w:r>
      <w:proofErr w:type="spellEnd"/>
      <w:r w:rsidRPr="00E22F20">
        <w:rPr>
          <w:color w:val="000000" w:themeColor="text1"/>
          <w:sz w:val="18"/>
        </w:rPr>
        <w:t xml:space="preserve"> process and evaluation. In WEI international European academic conference proceedings, Zagreb, Croatia.</w:t>
      </w:r>
    </w:p>
    <w:p w14:paraId="68D9BB4F"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Almohamed</w:t>
      </w:r>
      <w:proofErr w:type="spellEnd"/>
      <w:r w:rsidRPr="00E22F20">
        <w:rPr>
          <w:color w:val="000000" w:themeColor="text1"/>
          <w:sz w:val="18"/>
        </w:rPr>
        <w:t xml:space="preserve">, S., &amp; Cheikh, D. (2018, September 20). Opportunities and challenges of Islamic microfinance in livestock production: </w:t>
      </w:r>
      <w:proofErr w:type="gramStart"/>
      <w:r w:rsidRPr="00E22F20">
        <w:rPr>
          <w:color w:val="000000" w:themeColor="text1"/>
          <w:sz w:val="18"/>
        </w:rPr>
        <w:t>An evidence</w:t>
      </w:r>
      <w:proofErr w:type="gramEnd"/>
      <w:r w:rsidRPr="00E22F20">
        <w:rPr>
          <w:color w:val="000000" w:themeColor="text1"/>
          <w:sz w:val="18"/>
        </w:rPr>
        <w:t xml:space="preserve"> from Syria. African journal of agricultural research, 13(38), 1959-1969. https://doi.org/10.5897/ajar2018.13338</w:t>
      </w:r>
    </w:p>
    <w:p w14:paraId="03F3AA8F"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Almohamed</w:t>
      </w:r>
      <w:proofErr w:type="spellEnd"/>
      <w:r w:rsidRPr="00E22F20">
        <w:rPr>
          <w:color w:val="000000" w:themeColor="text1"/>
          <w:sz w:val="18"/>
        </w:rPr>
        <w:t xml:space="preserve">, S., &amp; Cheikh, D. (2018, September 20). Opportunities and challenges of Islamic microfinance in livestock production: </w:t>
      </w:r>
      <w:proofErr w:type="gramStart"/>
      <w:r w:rsidRPr="00E22F20">
        <w:rPr>
          <w:color w:val="000000" w:themeColor="text1"/>
          <w:sz w:val="18"/>
        </w:rPr>
        <w:t>An evidence</w:t>
      </w:r>
      <w:proofErr w:type="gramEnd"/>
      <w:r w:rsidRPr="00E22F20">
        <w:rPr>
          <w:color w:val="000000" w:themeColor="text1"/>
          <w:sz w:val="18"/>
        </w:rPr>
        <w:t xml:space="preserve"> from Syria. https://doi.org/10.5897/ajar2018.13338</w:t>
      </w:r>
    </w:p>
    <w:p w14:paraId="35E2CFCB"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Aslam, M N. (2014, November 24). Role of Islamic Microfinance in Poverty Alleviation in Pakistan: An Empirical Approach. https://doi.org/10.6007/ijarafms/v4-i4/1288</w:t>
      </w:r>
    </w:p>
    <w:p w14:paraId="594A8027"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Azman, N H N., </w:t>
      </w:r>
      <w:proofErr w:type="spellStart"/>
      <w:r w:rsidRPr="00E22F20">
        <w:rPr>
          <w:color w:val="000000" w:themeColor="text1"/>
          <w:sz w:val="18"/>
        </w:rPr>
        <w:t>Masron</w:t>
      </w:r>
      <w:proofErr w:type="spellEnd"/>
      <w:r w:rsidRPr="00E22F20">
        <w:rPr>
          <w:color w:val="000000" w:themeColor="text1"/>
          <w:sz w:val="18"/>
        </w:rPr>
        <w:t>, T A., &amp; Ibrahim, H. (2021, March 26). THE SIGNIFICANCE OF ISLAMIC SOCIAL FINANCE IN STABILISING INCOME FOR MICRO-ENTREPRENEURS DURING THE COVID-19 OUTBREAK. Journal of Islamic Monetary Economics and Finance (Online), 7. https://doi.org/10.21098/jimf.v7i0.1307</w:t>
      </w:r>
    </w:p>
    <w:p w14:paraId="1A23371B"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Begum, H., </w:t>
      </w:r>
      <w:proofErr w:type="spellStart"/>
      <w:r w:rsidRPr="00E22F20">
        <w:rPr>
          <w:color w:val="000000" w:themeColor="text1"/>
          <w:sz w:val="18"/>
        </w:rPr>
        <w:t>Alam</w:t>
      </w:r>
      <w:proofErr w:type="spellEnd"/>
      <w:r w:rsidRPr="00E22F20">
        <w:rPr>
          <w:color w:val="000000" w:themeColor="text1"/>
          <w:sz w:val="18"/>
        </w:rPr>
        <w:t>, A S A F., Mia, M A., Bhuiyan, F., &amp; Ghani, A B A. (2019, September 2). Development of Islamic microfinance: a sustainable poverty reduction approach. Journal of Economic and Administrative Sciences, 35(3), 143-157. https://doi.org/10.1108/jeas-01-2018-0007</w:t>
      </w:r>
    </w:p>
    <w:p w14:paraId="5405BF9A"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Bhuiyan, A B., </w:t>
      </w:r>
      <w:proofErr w:type="spellStart"/>
      <w:r w:rsidRPr="00E22F20">
        <w:rPr>
          <w:color w:val="000000" w:themeColor="text1"/>
          <w:sz w:val="18"/>
        </w:rPr>
        <w:t>Siwar</w:t>
      </w:r>
      <w:proofErr w:type="spellEnd"/>
      <w:r w:rsidRPr="00E22F20">
        <w:rPr>
          <w:color w:val="000000" w:themeColor="text1"/>
          <w:sz w:val="18"/>
        </w:rPr>
        <w:t>, C., Islam, A., &amp; Rashid, M. (2012, September 1). The Approaches of Islamic and Conventional Microfinancing for Poverty Alleviation and Sustainable Livelihood. American journal of applied sciences, 9(9), 1385-1389. https://doi.org/10.3844/ajassp.2012.1385.1389</w:t>
      </w:r>
    </w:p>
    <w:p w14:paraId="7B946B02"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Crane, L M., &amp; Leatham, D J. (1993, July 1). Profit and loss sharing in agriculture: An application of Islamic banking. Agribusiness (New York, N.Y. Print), 9(4), 403-412. https://doi.org/10.1002/1520-6297(199307)9:4&lt;</w:t>
      </w:r>
      <w:proofErr w:type="gramStart"/>
      <w:r w:rsidRPr="00E22F20">
        <w:rPr>
          <w:color w:val="000000" w:themeColor="text1"/>
          <w:sz w:val="18"/>
        </w:rPr>
        <w:t>403::</w:t>
      </w:r>
      <w:proofErr w:type="gramEnd"/>
      <w:r w:rsidRPr="00E22F20">
        <w:rPr>
          <w:color w:val="000000" w:themeColor="text1"/>
          <w:sz w:val="18"/>
        </w:rPr>
        <w:t>aid-agr2720090410&gt;3.0.co;2-x</w:t>
      </w:r>
    </w:p>
    <w:p w14:paraId="07DA136E"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Darwanto</w:t>
      </w:r>
      <w:proofErr w:type="spellEnd"/>
      <w:r w:rsidRPr="00E22F20">
        <w:rPr>
          <w:color w:val="000000" w:themeColor="text1"/>
          <w:sz w:val="18"/>
        </w:rPr>
        <w:t xml:space="preserve">., </w:t>
      </w:r>
      <w:proofErr w:type="spellStart"/>
      <w:r w:rsidRPr="00E22F20">
        <w:rPr>
          <w:color w:val="000000" w:themeColor="text1"/>
          <w:sz w:val="18"/>
        </w:rPr>
        <w:t>Roessali</w:t>
      </w:r>
      <w:proofErr w:type="spellEnd"/>
      <w:r w:rsidRPr="00E22F20">
        <w:rPr>
          <w:color w:val="000000" w:themeColor="text1"/>
          <w:sz w:val="18"/>
        </w:rPr>
        <w:t xml:space="preserve">, W., </w:t>
      </w:r>
      <w:proofErr w:type="spellStart"/>
      <w:r w:rsidRPr="00E22F20">
        <w:rPr>
          <w:color w:val="000000" w:themeColor="text1"/>
          <w:sz w:val="18"/>
        </w:rPr>
        <w:t>Woyanti</w:t>
      </w:r>
      <w:proofErr w:type="spellEnd"/>
      <w:r w:rsidRPr="00E22F20">
        <w:rPr>
          <w:color w:val="000000" w:themeColor="text1"/>
          <w:sz w:val="18"/>
        </w:rPr>
        <w:t xml:space="preserve">, N., Salam, A N., &amp; </w:t>
      </w:r>
      <w:proofErr w:type="spellStart"/>
      <w:r w:rsidRPr="00E22F20">
        <w:rPr>
          <w:color w:val="000000" w:themeColor="text1"/>
          <w:sz w:val="18"/>
        </w:rPr>
        <w:t>Santosa</w:t>
      </w:r>
      <w:proofErr w:type="spellEnd"/>
      <w:r w:rsidRPr="00E22F20">
        <w:rPr>
          <w:color w:val="000000" w:themeColor="text1"/>
          <w:sz w:val="18"/>
        </w:rPr>
        <w:t>, P B. (2019, June 1). Sharia Microfinance Institutions Financing Model for Strengthening Agricultural Sector. IOP Conference Series: Earth and Environmental Science, 292(1), 012016-012016. https://doi.org/10.1088/1755-1315/292/1/012016</w:t>
      </w:r>
    </w:p>
    <w:p w14:paraId="5428256C"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Durugbo</w:t>
      </w:r>
      <w:proofErr w:type="spellEnd"/>
      <w:r w:rsidRPr="00E22F20">
        <w:rPr>
          <w:color w:val="000000" w:themeColor="text1"/>
          <w:sz w:val="18"/>
        </w:rPr>
        <w:t xml:space="preserve">, C., </w:t>
      </w:r>
      <w:proofErr w:type="spellStart"/>
      <w:r w:rsidRPr="00E22F20">
        <w:rPr>
          <w:color w:val="000000" w:themeColor="text1"/>
          <w:sz w:val="18"/>
        </w:rPr>
        <w:t>Amoudi</w:t>
      </w:r>
      <w:proofErr w:type="spellEnd"/>
      <w:r w:rsidRPr="00E22F20">
        <w:rPr>
          <w:color w:val="000000" w:themeColor="text1"/>
          <w:sz w:val="18"/>
        </w:rPr>
        <w:t>, O., Al-</w:t>
      </w:r>
      <w:proofErr w:type="spellStart"/>
      <w:r w:rsidRPr="00E22F20">
        <w:rPr>
          <w:color w:val="000000" w:themeColor="text1"/>
          <w:sz w:val="18"/>
        </w:rPr>
        <w:t>Balushi</w:t>
      </w:r>
      <w:proofErr w:type="spellEnd"/>
      <w:r w:rsidRPr="00E22F20">
        <w:rPr>
          <w:color w:val="000000" w:themeColor="text1"/>
          <w:sz w:val="18"/>
        </w:rPr>
        <w:t xml:space="preserve">, Z., &amp; </w:t>
      </w:r>
      <w:proofErr w:type="spellStart"/>
      <w:r w:rsidRPr="00E22F20">
        <w:rPr>
          <w:color w:val="000000" w:themeColor="text1"/>
          <w:sz w:val="18"/>
        </w:rPr>
        <w:t>Anouze</w:t>
      </w:r>
      <w:proofErr w:type="spellEnd"/>
      <w:r w:rsidRPr="00E22F20">
        <w:rPr>
          <w:color w:val="000000" w:themeColor="text1"/>
          <w:sz w:val="18"/>
        </w:rPr>
        <w:t>, A L. (2020, July 22). Wisdom from Arabian networks: a review and theory of regional supply chain management. Production planning &amp; control (Print), 32(15), 1265-1281. https://doi.org/10.1080/09537287.2020.1796144</w:t>
      </w:r>
    </w:p>
    <w:p w14:paraId="23307E7F"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Fianto</w:t>
      </w:r>
      <w:proofErr w:type="spellEnd"/>
      <w:r w:rsidRPr="00E22F20">
        <w:rPr>
          <w:color w:val="000000" w:themeColor="text1"/>
          <w:sz w:val="18"/>
        </w:rPr>
        <w:t>, B A., Gan, C., &amp; Hu, B. (2019, October 7). Financing from Islamic microfinance institutions: evidence from Indonesia. Agricultural finance review, 79(5), 633-645. https://doi.org/10.1108/afr-10-2018-0091</w:t>
      </w:r>
    </w:p>
    <w:p w14:paraId="167194F2"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Ginanjar</w:t>
      </w:r>
      <w:proofErr w:type="spellEnd"/>
      <w:r w:rsidRPr="00E22F20">
        <w:rPr>
          <w:color w:val="000000" w:themeColor="text1"/>
          <w:sz w:val="18"/>
        </w:rPr>
        <w:t xml:space="preserve">, A., &amp; </w:t>
      </w:r>
      <w:proofErr w:type="spellStart"/>
      <w:r w:rsidRPr="00E22F20">
        <w:rPr>
          <w:color w:val="000000" w:themeColor="text1"/>
          <w:sz w:val="18"/>
        </w:rPr>
        <w:t>Kassim</w:t>
      </w:r>
      <w:proofErr w:type="spellEnd"/>
      <w:r w:rsidRPr="00E22F20">
        <w:rPr>
          <w:color w:val="000000" w:themeColor="text1"/>
          <w:sz w:val="18"/>
        </w:rPr>
        <w:t>, S. (2020, March 10). CAN ISLAMIC MICROFINANCE ALLEVIATES POVERTY IN INDONESIA? AN INVESTIGATION FROM THE PERSPECTIVE OF THE MICROFINANCE INSTITUTIONS. http://jimf-bi.org/index.php/JIMF/article/download/1203/795</w:t>
      </w:r>
    </w:p>
    <w:p w14:paraId="1E6BD458"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Ginanjar</w:t>
      </w:r>
      <w:proofErr w:type="spellEnd"/>
      <w:r w:rsidRPr="00E22F20">
        <w:rPr>
          <w:color w:val="000000" w:themeColor="text1"/>
          <w:sz w:val="18"/>
        </w:rPr>
        <w:t xml:space="preserve">, A., &amp; </w:t>
      </w:r>
      <w:proofErr w:type="spellStart"/>
      <w:r w:rsidRPr="00E22F20">
        <w:rPr>
          <w:color w:val="000000" w:themeColor="text1"/>
          <w:sz w:val="18"/>
        </w:rPr>
        <w:t>Kassim</w:t>
      </w:r>
      <w:proofErr w:type="spellEnd"/>
      <w:r w:rsidRPr="00E22F20">
        <w:rPr>
          <w:color w:val="000000" w:themeColor="text1"/>
          <w:sz w:val="18"/>
        </w:rPr>
        <w:t>, S. (2020, March 10). CAN ISLAMIC MICROFINANCE ALLEVIATES POVERTY IN INDONESIA? AN INVESTIGATION FROM THE PERSPECTIVE OF THE MICROFINANCE INSTITUTIONS. https://doi.org/10.21098/jimf.v6i1.1203</w:t>
      </w:r>
    </w:p>
    <w:p w14:paraId="29BDF1F0"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Golan, A., &amp; Kohli, H S. (2013, January 1). ASEAN Dynamism: Agricultural Transformation and Food Security. Global journal of emerging market economies, 5(1), 3-21. https://doi.org/10.1177/0974910112469267</w:t>
      </w:r>
    </w:p>
    <w:p w14:paraId="76F73FFA"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Hassan, M K., </w:t>
      </w:r>
      <w:proofErr w:type="spellStart"/>
      <w:r w:rsidRPr="00E22F20">
        <w:rPr>
          <w:color w:val="000000" w:themeColor="text1"/>
          <w:sz w:val="18"/>
        </w:rPr>
        <w:t>Alshater</w:t>
      </w:r>
      <w:proofErr w:type="spellEnd"/>
      <w:r w:rsidRPr="00E22F20">
        <w:rPr>
          <w:color w:val="000000" w:themeColor="text1"/>
          <w:sz w:val="18"/>
        </w:rPr>
        <w:t xml:space="preserve">, M </w:t>
      </w:r>
      <w:proofErr w:type="spellStart"/>
      <w:r w:rsidRPr="00E22F20">
        <w:rPr>
          <w:color w:val="000000" w:themeColor="text1"/>
          <w:sz w:val="18"/>
        </w:rPr>
        <w:t>M</w:t>
      </w:r>
      <w:proofErr w:type="spellEnd"/>
      <w:r w:rsidRPr="00E22F20">
        <w:rPr>
          <w:color w:val="000000" w:themeColor="text1"/>
          <w:sz w:val="18"/>
        </w:rPr>
        <w:t>., Hasan, R., &amp; Bhuiyan, A B. (2021, August 1). Islamic microfinance: A bibliometric review. https://doi.org/10.1016/j.gfj.2021.100651</w:t>
      </w:r>
    </w:p>
    <w:p w14:paraId="065E5814"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Hoang, V </w:t>
      </w:r>
      <w:proofErr w:type="spellStart"/>
      <w:r w:rsidRPr="00E22F20">
        <w:rPr>
          <w:color w:val="000000" w:themeColor="text1"/>
          <w:sz w:val="18"/>
        </w:rPr>
        <w:t>V</w:t>
      </w:r>
      <w:proofErr w:type="spellEnd"/>
      <w:r w:rsidRPr="00E22F20">
        <w:rPr>
          <w:color w:val="000000" w:themeColor="text1"/>
          <w:sz w:val="18"/>
        </w:rPr>
        <w:t>. (2020, March 30). Investigating the agricultural competitiveness of ASEAN countries. https://www.emerald.com/insight/content/doi/10.1108/JES-10-2018-0366/full/html</w:t>
      </w:r>
    </w:p>
    <w:p w14:paraId="6C65AD49"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Hoàng</w:t>
      </w:r>
      <w:proofErr w:type="spellEnd"/>
      <w:r w:rsidRPr="00E22F20">
        <w:rPr>
          <w:color w:val="000000" w:themeColor="text1"/>
          <w:sz w:val="18"/>
        </w:rPr>
        <w:t xml:space="preserve">, V. (2018, October 31). Assessing the agricultural trade complementarity of the Association of Southeast Asian Nations countries. </w:t>
      </w:r>
      <w:proofErr w:type="spellStart"/>
      <w:r w:rsidRPr="00E22F20">
        <w:rPr>
          <w:color w:val="000000" w:themeColor="text1"/>
          <w:sz w:val="18"/>
        </w:rPr>
        <w:t>Zemědělská</w:t>
      </w:r>
      <w:proofErr w:type="spellEnd"/>
      <w:r w:rsidRPr="00E22F20">
        <w:rPr>
          <w:color w:val="000000" w:themeColor="text1"/>
          <w:sz w:val="18"/>
        </w:rPr>
        <w:t xml:space="preserve"> </w:t>
      </w:r>
      <w:proofErr w:type="spellStart"/>
      <w:r w:rsidRPr="00E22F20">
        <w:rPr>
          <w:color w:val="000000" w:themeColor="text1"/>
          <w:sz w:val="18"/>
        </w:rPr>
        <w:t>ekonomika</w:t>
      </w:r>
      <w:proofErr w:type="spellEnd"/>
      <w:r w:rsidRPr="00E22F20">
        <w:rPr>
          <w:color w:val="000000" w:themeColor="text1"/>
          <w:sz w:val="18"/>
        </w:rPr>
        <w:t>, 64(10), 464-475. https://doi.org/10.17221/253/2017-agricecon</w:t>
      </w:r>
    </w:p>
    <w:p w14:paraId="13B5C84D"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Horton, D. (2018, March 12). Agricultural innovation and inclusive value-chain development: a review. https://www.emerald.com/insight/content/doi/10.1108/JADEE-06-2017-0065/full/html</w:t>
      </w:r>
    </w:p>
    <w:p w14:paraId="3FD1F256"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Hossain, I., Muhammad, A I., Jibril, B T., &amp; </w:t>
      </w:r>
      <w:proofErr w:type="spellStart"/>
      <w:r w:rsidRPr="00E22F20">
        <w:rPr>
          <w:color w:val="000000" w:themeColor="text1"/>
          <w:sz w:val="18"/>
        </w:rPr>
        <w:t>Kaitibie</w:t>
      </w:r>
      <w:proofErr w:type="spellEnd"/>
      <w:r w:rsidRPr="00E22F20">
        <w:rPr>
          <w:color w:val="000000" w:themeColor="text1"/>
          <w:sz w:val="18"/>
        </w:rPr>
        <w:t>, S. (2019, April 30). Support for smallholder farmers through Islamic instruments. International journal of Islamic and Middle Eastern finance and management (Print), 12(2), 154-168. https://doi.org/10.1108/imefm-11-2018-0371</w:t>
      </w:r>
    </w:p>
    <w:p w14:paraId="744AA834"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Jouti</w:t>
      </w:r>
      <w:proofErr w:type="spellEnd"/>
      <w:r w:rsidRPr="00E22F20">
        <w:rPr>
          <w:color w:val="000000" w:themeColor="text1"/>
          <w:sz w:val="18"/>
        </w:rPr>
        <w:t xml:space="preserve">, A T. (2018, November 15). Islamic finance: financial inclusion or </w:t>
      </w:r>
      <w:proofErr w:type="gramStart"/>
      <w:r w:rsidRPr="00E22F20">
        <w:rPr>
          <w:color w:val="000000" w:themeColor="text1"/>
          <w:sz w:val="18"/>
        </w:rPr>
        <w:t>migration?.</w:t>
      </w:r>
      <w:proofErr w:type="gramEnd"/>
      <w:r w:rsidRPr="00E22F20">
        <w:rPr>
          <w:color w:val="000000" w:themeColor="text1"/>
          <w:sz w:val="18"/>
        </w:rPr>
        <w:t xml:space="preserve"> https://papers.ssrn.com/sol3/papers.cfm?abstract_id=3626080</w:t>
      </w:r>
    </w:p>
    <w:p w14:paraId="6F23C05C" w14:textId="608236A9" w:rsid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Kakembo</w:t>
      </w:r>
      <w:proofErr w:type="spellEnd"/>
      <w:r w:rsidRPr="00E22F20">
        <w:rPr>
          <w:color w:val="000000" w:themeColor="text1"/>
          <w:sz w:val="18"/>
        </w:rPr>
        <w:t xml:space="preserve">, S H., &amp; Ahmad, F. (2019, December 27). Employing Islamic Microfinance in Addressing Poverty Challenges in Brunei: A </w:t>
      </w:r>
      <w:proofErr w:type="spellStart"/>
      <w:r w:rsidRPr="00E22F20">
        <w:rPr>
          <w:color w:val="000000" w:themeColor="text1"/>
          <w:sz w:val="18"/>
        </w:rPr>
        <w:t>Mudarabah</w:t>
      </w:r>
      <w:proofErr w:type="spellEnd"/>
      <w:r w:rsidR="00780415">
        <w:rPr>
          <w:color w:val="000000" w:themeColor="text1"/>
          <w:sz w:val="18"/>
        </w:rPr>
        <w:t xml:space="preserve"> </w:t>
      </w:r>
      <w:r w:rsidRPr="00E22F20">
        <w:rPr>
          <w:color w:val="000000" w:themeColor="text1"/>
          <w:sz w:val="18"/>
        </w:rPr>
        <w:t>Approach. https://autopapers.ssrn.com/sol3/papers.cfm?abstract_id=3642514</w:t>
      </w:r>
    </w:p>
    <w:p w14:paraId="7753F9FF" w14:textId="0D9F7F53" w:rsidR="00780415" w:rsidRPr="00E22F20" w:rsidRDefault="00780415" w:rsidP="00E22F20">
      <w:pPr>
        <w:spacing w:before="2" w:line="254" w:lineRule="auto"/>
        <w:ind w:left="454" w:right="111" w:hanging="340"/>
        <w:jc w:val="both"/>
        <w:rPr>
          <w:color w:val="000000" w:themeColor="text1"/>
          <w:sz w:val="18"/>
        </w:rPr>
      </w:pPr>
      <w:r w:rsidRPr="00780415">
        <w:rPr>
          <w:color w:val="000000" w:themeColor="text1"/>
          <w:sz w:val="18"/>
        </w:rPr>
        <w:t xml:space="preserve">Karim, N., </w:t>
      </w:r>
      <w:proofErr w:type="spellStart"/>
      <w:r w:rsidRPr="00780415">
        <w:rPr>
          <w:color w:val="000000" w:themeColor="text1"/>
          <w:sz w:val="18"/>
        </w:rPr>
        <w:t>Tarazi</w:t>
      </w:r>
      <w:proofErr w:type="spellEnd"/>
      <w:r w:rsidRPr="00780415">
        <w:rPr>
          <w:color w:val="000000" w:themeColor="text1"/>
          <w:sz w:val="18"/>
        </w:rPr>
        <w:t xml:space="preserve">, M., &amp; </w:t>
      </w:r>
      <w:proofErr w:type="spellStart"/>
      <w:r w:rsidRPr="00780415">
        <w:rPr>
          <w:color w:val="000000" w:themeColor="text1"/>
          <w:sz w:val="18"/>
        </w:rPr>
        <w:t>Reille</w:t>
      </w:r>
      <w:proofErr w:type="spellEnd"/>
      <w:r w:rsidRPr="00780415">
        <w:rPr>
          <w:color w:val="000000" w:themeColor="text1"/>
          <w:sz w:val="18"/>
        </w:rPr>
        <w:t>, X. (2008). Islam micro finance: an emerging market niche.</w:t>
      </w:r>
    </w:p>
    <w:p w14:paraId="499771CC" w14:textId="77777777" w:rsid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Kamal, S N M., Ismail, N W., &amp; </w:t>
      </w:r>
      <w:proofErr w:type="spellStart"/>
      <w:r w:rsidRPr="00E22F20">
        <w:rPr>
          <w:color w:val="000000" w:themeColor="text1"/>
          <w:sz w:val="18"/>
        </w:rPr>
        <w:t>Sidique</w:t>
      </w:r>
      <w:proofErr w:type="spellEnd"/>
      <w:r w:rsidRPr="00E22F20">
        <w:rPr>
          <w:color w:val="000000" w:themeColor="text1"/>
          <w:sz w:val="18"/>
        </w:rPr>
        <w:t xml:space="preserve">, S F. (2022, March 28). Innovation and Productivity in the Malaysian Food Processing Industry: An Empirical Analysis using a System </w:t>
      </w:r>
      <w:proofErr w:type="spellStart"/>
      <w:r w:rsidRPr="00E22F20">
        <w:rPr>
          <w:color w:val="000000" w:themeColor="text1"/>
          <w:sz w:val="18"/>
        </w:rPr>
        <w:t>Generalised</w:t>
      </w:r>
      <w:proofErr w:type="spellEnd"/>
      <w:r w:rsidRPr="00E22F20">
        <w:rPr>
          <w:color w:val="000000" w:themeColor="text1"/>
          <w:sz w:val="18"/>
        </w:rPr>
        <w:t xml:space="preserve"> Method of Moments Approach. Asian journal of empirical research, 12(2), 54-61. https://doi.org/10.55493/5004.v12i2.4453</w:t>
      </w:r>
    </w:p>
    <w:p w14:paraId="68C58042" w14:textId="133E36E3" w:rsidR="00780415" w:rsidRDefault="00780415" w:rsidP="00E22F20">
      <w:pPr>
        <w:spacing w:before="2" w:line="254" w:lineRule="auto"/>
        <w:ind w:left="454" w:right="111" w:hanging="340"/>
        <w:jc w:val="both"/>
        <w:rPr>
          <w:color w:val="000000" w:themeColor="text1"/>
          <w:sz w:val="18"/>
        </w:rPr>
      </w:pPr>
      <w:proofErr w:type="spellStart"/>
      <w:r w:rsidRPr="00780415">
        <w:rPr>
          <w:color w:val="000000" w:themeColor="text1"/>
          <w:sz w:val="18"/>
        </w:rPr>
        <w:t>Kustin</w:t>
      </w:r>
      <w:proofErr w:type="spellEnd"/>
      <w:r w:rsidRPr="00780415">
        <w:rPr>
          <w:color w:val="000000" w:themeColor="text1"/>
          <w:sz w:val="18"/>
        </w:rPr>
        <w:t>, B. (2015). Islamic (micro) finance: culture, context, promises, challenges.</w:t>
      </w:r>
    </w:p>
    <w:p w14:paraId="0B2428E0" w14:textId="7290EC7C"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Kwok, L., </w:t>
      </w:r>
      <w:proofErr w:type="spellStart"/>
      <w:r w:rsidRPr="00E22F20">
        <w:rPr>
          <w:color w:val="000000" w:themeColor="text1"/>
          <w:sz w:val="18"/>
        </w:rPr>
        <w:t>Xie</w:t>
      </w:r>
      <w:proofErr w:type="spellEnd"/>
      <w:r w:rsidRPr="00E22F20">
        <w:rPr>
          <w:color w:val="000000" w:themeColor="text1"/>
          <w:sz w:val="18"/>
        </w:rPr>
        <w:t>, K. L., &amp; Richards, T. (2017). Thematic framework of online review research: A systematic analysis of contemporary literature on seven major hospitality and tourism journals. International Journal of Contemporary Hospitality Management, 29(1), 307-354.</w:t>
      </w:r>
    </w:p>
    <w:p w14:paraId="51F579FF"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Lal, A., &amp; Israel, E. (2006, January 1). An overview of microfinance and the environmental sustainability of smallholder agriculture. International journal of agricultural resources, governance and ecology, 5(4), 356-356. https://doi.org/10.1504/ijarge.2006.009926</w:t>
      </w:r>
    </w:p>
    <w:p w14:paraId="51561223"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Mansori</w:t>
      </w:r>
      <w:proofErr w:type="spellEnd"/>
      <w:r w:rsidRPr="00E22F20">
        <w:rPr>
          <w:color w:val="000000" w:themeColor="text1"/>
          <w:sz w:val="18"/>
        </w:rPr>
        <w:t>, S., Kim, C S., &amp; Safari, M. (2015, April 2). A Shariah Perspective Review on Islamic Microfinance. https://doi.org/10.5539/ass.v11n9p273</w:t>
      </w:r>
    </w:p>
    <w:p w14:paraId="6E02B522"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Mansori</w:t>
      </w:r>
      <w:proofErr w:type="spellEnd"/>
      <w:r w:rsidRPr="00E22F20">
        <w:rPr>
          <w:color w:val="000000" w:themeColor="text1"/>
          <w:sz w:val="18"/>
        </w:rPr>
        <w:t>, S., Kim, C S., &amp; Safari, M. (2015, April 2). A Shariah Perspective Review on Islamic Microfinance. https://www.ccsenet.org/journal/index.php/ass/article/view/47171</w:t>
      </w:r>
    </w:p>
    <w:p w14:paraId="78EBD32F"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Mobin</w:t>
      </w:r>
      <w:proofErr w:type="spellEnd"/>
      <w:r w:rsidRPr="00E22F20">
        <w:rPr>
          <w:color w:val="000000" w:themeColor="text1"/>
          <w:sz w:val="18"/>
        </w:rPr>
        <w:t xml:space="preserve">, M A., Masih, M., &amp; </w:t>
      </w:r>
      <w:proofErr w:type="spellStart"/>
      <w:r w:rsidRPr="00E22F20">
        <w:rPr>
          <w:color w:val="000000" w:themeColor="text1"/>
          <w:sz w:val="18"/>
        </w:rPr>
        <w:t>Alhabshi</w:t>
      </w:r>
      <w:proofErr w:type="spellEnd"/>
      <w:r w:rsidRPr="00E22F20">
        <w:rPr>
          <w:color w:val="000000" w:themeColor="text1"/>
          <w:sz w:val="18"/>
        </w:rPr>
        <w:t xml:space="preserve">, S O. (2017, January 10). Religion of Islam and Microfinance: Does It Make Any </w:t>
      </w:r>
      <w:proofErr w:type="gramStart"/>
      <w:r w:rsidRPr="00E22F20">
        <w:rPr>
          <w:color w:val="000000" w:themeColor="text1"/>
          <w:sz w:val="18"/>
        </w:rPr>
        <w:t>Difference?.</w:t>
      </w:r>
      <w:proofErr w:type="gramEnd"/>
      <w:r w:rsidRPr="00E22F20">
        <w:rPr>
          <w:color w:val="000000" w:themeColor="text1"/>
          <w:sz w:val="18"/>
        </w:rPr>
        <w:t xml:space="preserve"> Emerging markets finance &amp; trade, 53(7), 1547-1562. https://doi.org/10.1080/1540496x.2016.1268526</w:t>
      </w:r>
    </w:p>
    <w:p w14:paraId="0A119967"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Mubarok</w:t>
      </w:r>
      <w:proofErr w:type="spellEnd"/>
      <w:r w:rsidRPr="00E22F20">
        <w:rPr>
          <w:color w:val="000000" w:themeColor="text1"/>
          <w:sz w:val="18"/>
        </w:rPr>
        <w:t xml:space="preserve">, F. (2021, July 13). Acceleration of Islamic Bank Financing in Indonesian Agriculture Sector. </w:t>
      </w:r>
      <w:proofErr w:type="spellStart"/>
      <w:r w:rsidRPr="00E22F20">
        <w:rPr>
          <w:color w:val="000000" w:themeColor="text1"/>
          <w:sz w:val="18"/>
        </w:rPr>
        <w:t>Shirkah</w:t>
      </w:r>
      <w:proofErr w:type="spellEnd"/>
      <w:r w:rsidRPr="00E22F20">
        <w:rPr>
          <w:color w:val="000000" w:themeColor="text1"/>
          <w:sz w:val="18"/>
        </w:rPr>
        <w:t xml:space="preserve"> (Surakarta), 6(2), 185-185. https://doi.org/10.22515/shirkah.v6i2.341</w:t>
      </w:r>
    </w:p>
    <w:p w14:paraId="6036CA79"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Nghiem, L T P., Soliman, T., Yeo, D C J., Tan, H T W., Evans, T A., Mumford, J., Keller, R P., Baker, R., Corlett, R T., &amp; Carrasco, L R. (2013, August 9). Economic and Environmental Impacts of Harmful Non-Indigenous Species in Southeast Asia. Public Library of Science, 8(8), e71255-e71255. https://doi.org/10.1371/journal.pone.0071255</w:t>
      </w:r>
    </w:p>
    <w:p w14:paraId="31027DCB"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lastRenderedPageBreak/>
        <w:t>Ningrat</w:t>
      </w:r>
      <w:proofErr w:type="spellEnd"/>
      <w:r w:rsidRPr="00E22F20">
        <w:rPr>
          <w:color w:val="000000" w:themeColor="text1"/>
          <w:sz w:val="18"/>
        </w:rPr>
        <w:t xml:space="preserve">, G., &amp; </w:t>
      </w:r>
      <w:proofErr w:type="spellStart"/>
      <w:r w:rsidRPr="00E22F20">
        <w:rPr>
          <w:color w:val="000000" w:themeColor="text1"/>
          <w:sz w:val="18"/>
        </w:rPr>
        <w:t>Nurzaman</w:t>
      </w:r>
      <w:proofErr w:type="spellEnd"/>
      <w:r w:rsidRPr="00E22F20">
        <w:rPr>
          <w:color w:val="000000" w:themeColor="text1"/>
          <w:sz w:val="18"/>
        </w:rPr>
        <w:t>, M. (2019, November 1). DEVELOPING FINTECH AND ISLAMIC FINANCE PRODUCTS IN AGRICULTURAL VALUE CHAIN. Journal of Islamic Monetary Economics and Finance (Online), 5(3), 491-516. https://doi.org/10.21098/jimf.v5i3.1077</w:t>
      </w:r>
    </w:p>
    <w:p w14:paraId="47A0958F"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Nunti</w:t>
      </w:r>
      <w:proofErr w:type="spellEnd"/>
      <w:r w:rsidRPr="00E22F20">
        <w:rPr>
          <w:color w:val="000000" w:themeColor="text1"/>
          <w:sz w:val="18"/>
        </w:rPr>
        <w:t xml:space="preserve">, C., Somboon, K., &amp; </w:t>
      </w:r>
      <w:proofErr w:type="spellStart"/>
      <w:r w:rsidRPr="00E22F20">
        <w:rPr>
          <w:color w:val="000000" w:themeColor="text1"/>
          <w:sz w:val="18"/>
        </w:rPr>
        <w:t>Intapan</w:t>
      </w:r>
      <w:proofErr w:type="spellEnd"/>
      <w:r w:rsidRPr="00E22F20">
        <w:rPr>
          <w:color w:val="000000" w:themeColor="text1"/>
          <w:sz w:val="18"/>
        </w:rPr>
        <w:t>, C. (2020, November 1). The Impact of Climate Change on Agriculture Sector in ASEAN. Journal of Physics: Conference Series, 1651(1), 012026-012026. https://doi.org/10.1088/1742-6596/1651/1/012026</w:t>
      </w:r>
    </w:p>
    <w:p w14:paraId="76966D5B"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Nur, M A., </w:t>
      </w:r>
      <w:proofErr w:type="spellStart"/>
      <w:r w:rsidRPr="00E22F20">
        <w:rPr>
          <w:color w:val="000000" w:themeColor="text1"/>
          <w:sz w:val="18"/>
        </w:rPr>
        <w:t>Hafidz</w:t>
      </w:r>
      <w:proofErr w:type="spellEnd"/>
      <w:r w:rsidRPr="00E22F20">
        <w:rPr>
          <w:color w:val="000000" w:themeColor="text1"/>
          <w:sz w:val="18"/>
        </w:rPr>
        <w:t xml:space="preserve">, F., </w:t>
      </w:r>
      <w:proofErr w:type="spellStart"/>
      <w:r w:rsidRPr="00E22F20">
        <w:rPr>
          <w:color w:val="000000" w:themeColor="text1"/>
          <w:sz w:val="18"/>
        </w:rPr>
        <w:t>Armanto</w:t>
      </w:r>
      <w:proofErr w:type="spellEnd"/>
      <w:r w:rsidRPr="00E22F20">
        <w:rPr>
          <w:color w:val="000000" w:themeColor="text1"/>
          <w:sz w:val="18"/>
        </w:rPr>
        <w:t xml:space="preserve">, A., &amp; </w:t>
      </w:r>
      <w:proofErr w:type="spellStart"/>
      <w:r w:rsidRPr="00E22F20">
        <w:rPr>
          <w:color w:val="000000" w:themeColor="text1"/>
          <w:sz w:val="18"/>
        </w:rPr>
        <w:t>Herianingruma</w:t>
      </w:r>
      <w:proofErr w:type="spellEnd"/>
      <w:r w:rsidRPr="00E22F20">
        <w:rPr>
          <w:color w:val="000000" w:themeColor="text1"/>
          <w:sz w:val="18"/>
        </w:rPr>
        <w:t xml:space="preserve">, S. (2023, May 18). Agricultural financing risk and </w:t>
      </w:r>
      <w:proofErr w:type="spellStart"/>
      <w:r w:rsidRPr="00E22F20">
        <w:rPr>
          <w:color w:val="000000" w:themeColor="text1"/>
          <w:sz w:val="18"/>
        </w:rPr>
        <w:t>ib</w:t>
      </w:r>
      <w:proofErr w:type="spellEnd"/>
      <w:r w:rsidRPr="00E22F20">
        <w:rPr>
          <w:color w:val="000000" w:themeColor="text1"/>
          <w:sz w:val="18"/>
        </w:rPr>
        <w:t xml:space="preserve"> agricultural financing: A long relationship. https://doi.org/10.22515/jifa.v5i2.5518</w:t>
      </w:r>
    </w:p>
    <w:p w14:paraId="03EE372B"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Nur, M A., </w:t>
      </w:r>
      <w:proofErr w:type="spellStart"/>
      <w:r w:rsidRPr="00E22F20">
        <w:rPr>
          <w:color w:val="000000" w:themeColor="text1"/>
          <w:sz w:val="18"/>
        </w:rPr>
        <w:t>Hafidz</w:t>
      </w:r>
      <w:proofErr w:type="spellEnd"/>
      <w:r w:rsidRPr="00E22F20">
        <w:rPr>
          <w:color w:val="000000" w:themeColor="text1"/>
          <w:sz w:val="18"/>
        </w:rPr>
        <w:t xml:space="preserve">, F., </w:t>
      </w:r>
      <w:proofErr w:type="spellStart"/>
      <w:r w:rsidRPr="00E22F20">
        <w:rPr>
          <w:color w:val="000000" w:themeColor="text1"/>
          <w:sz w:val="18"/>
        </w:rPr>
        <w:t>Armanto</w:t>
      </w:r>
      <w:proofErr w:type="spellEnd"/>
      <w:r w:rsidRPr="00E22F20">
        <w:rPr>
          <w:color w:val="000000" w:themeColor="text1"/>
          <w:sz w:val="18"/>
        </w:rPr>
        <w:t xml:space="preserve">, A., &amp; </w:t>
      </w:r>
      <w:proofErr w:type="spellStart"/>
      <w:r w:rsidRPr="00E22F20">
        <w:rPr>
          <w:color w:val="000000" w:themeColor="text1"/>
          <w:sz w:val="18"/>
        </w:rPr>
        <w:t>Herianingruma</w:t>
      </w:r>
      <w:proofErr w:type="spellEnd"/>
      <w:r w:rsidRPr="00E22F20">
        <w:rPr>
          <w:color w:val="000000" w:themeColor="text1"/>
          <w:sz w:val="18"/>
        </w:rPr>
        <w:t xml:space="preserve">, S. (2023, May 18). Agricultural financing risk and </w:t>
      </w:r>
      <w:proofErr w:type="spellStart"/>
      <w:r w:rsidRPr="00E22F20">
        <w:rPr>
          <w:color w:val="000000" w:themeColor="text1"/>
          <w:sz w:val="18"/>
        </w:rPr>
        <w:t>ib</w:t>
      </w:r>
      <w:proofErr w:type="spellEnd"/>
      <w:r w:rsidRPr="00E22F20">
        <w:rPr>
          <w:color w:val="000000" w:themeColor="text1"/>
          <w:sz w:val="18"/>
        </w:rPr>
        <w:t xml:space="preserve"> agricultural financing: A long relationship. JIFA (Journal of Islamic Finance and Accounting), 5(2), 75-88. https://doi.org/10.22515/jifa.v5i2.5518</w:t>
      </w:r>
    </w:p>
    <w:p w14:paraId="64C730E1"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Obaidullah, M., &amp; Khan, T. (2008, January 1). Islamic Microfinance Development: Challenges and Initiatives. Social Science Research Network. https://doi.org/10.2139/ssrn.1506073</w:t>
      </w:r>
    </w:p>
    <w:p w14:paraId="48AB13C9"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Oostendorp</w:t>
      </w:r>
      <w:proofErr w:type="spellEnd"/>
      <w:r w:rsidRPr="00E22F20">
        <w:rPr>
          <w:color w:val="000000" w:themeColor="text1"/>
          <w:sz w:val="18"/>
        </w:rPr>
        <w:t xml:space="preserve">, R., </w:t>
      </w:r>
      <w:proofErr w:type="spellStart"/>
      <w:r w:rsidRPr="00E22F20">
        <w:rPr>
          <w:color w:val="000000" w:themeColor="text1"/>
          <w:sz w:val="18"/>
        </w:rPr>
        <w:t>Asseldonk</w:t>
      </w:r>
      <w:proofErr w:type="spellEnd"/>
      <w:r w:rsidRPr="00E22F20">
        <w:rPr>
          <w:color w:val="000000" w:themeColor="text1"/>
          <w:sz w:val="18"/>
        </w:rPr>
        <w:t xml:space="preserve">, M V., </w:t>
      </w:r>
      <w:proofErr w:type="spellStart"/>
      <w:r w:rsidRPr="00E22F20">
        <w:rPr>
          <w:color w:val="000000" w:themeColor="text1"/>
          <w:sz w:val="18"/>
        </w:rPr>
        <w:t>Gathiaka</w:t>
      </w:r>
      <w:proofErr w:type="spellEnd"/>
      <w:r w:rsidRPr="00E22F20">
        <w:rPr>
          <w:color w:val="000000" w:themeColor="text1"/>
          <w:sz w:val="18"/>
        </w:rPr>
        <w:t xml:space="preserve">, J., Mulwa, R., </w:t>
      </w:r>
      <w:proofErr w:type="spellStart"/>
      <w:r w:rsidRPr="00E22F20">
        <w:rPr>
          <w:color w:val="000000" w:themeColor="text1"/>
          <w:sz w:val="18"/>
        </w:rPr>
        <w:t>Radeny</w:t>
      </w:r>
      <w:proofErr w:type="spellEnd"/>
      <w:r w:rsidRPr="00E22F20">
        <w:rPr>
          <w:color w:val="000000" w:themeColor="text1"/>
          <w:sz w:val="18"/>
        </w:rPr>
        <w:t xml:space="preserve">, M A., </w:t>
      </w:r>
      <w:proofErr w:type="spellStart"/>
      <w:r w:rsidRPr="00E22F20">
        <w:rPr>
          <w:color w:val="000000" w:themeColor="text1"/>
          <w:sz w:val="18"/>
        </w:rPr>
        <w:t>Recha</w:t>
      </w:r>
      <w:proofErr w:type="spellEnd"/>
      <w:r w:rsidRPr="00E22F20">
        <w:rPr>
          <w:color w:val="000000" w:themeColor="text1"/>
          <w:sz w:val="18"/>
        </w:rPr>
        <w:t xml:space="preserve">, J., </w:t>
      </w:r>
      <w:proofErr w:type="spellStart"/>
      <w:r w:rsidRPr="00E22F20">
        <w:rPr>
          <w:color w:val="000000" w:themeColor="text1"/>
          <w:sz w:val="18"/>
        </w:rPr>
        <w:t>Wattel</w:t>
      </w:r>
      <w:proofErr w:type="spellEnd"/>
      <w:r w:rsidRPr="00E22F20">
        <w:rPr>
          <w:color w:val="000000" w:themeColor="text1"/>
          <w:sz w:val="18"/>
        </w:rPr>
        <w:t xml:space="preserve">, C., &amp; </w:t>
      </w:r>
      <w:proofErr w:type="spellStart"/>
      <w:r w:rsidRPr="00E22F20">
        <w:rPr>
          <w:color w:val="000000" w:themeColor="text1"/>
          <w:sz w:val="18"/>
        </w:rPr>
        <w:t>Wesenbeeck</w:t>
      </w:r>
      <w:proofErr w:type="spellEnd"/>
      <w:r w:rsidRPr="00E22F20">
        <w:rPr>
          <w:color w:val="000000" w:themeColor="text1"/>
          <w:sz w:val="18"/>
        </w:rPr>
        <w:t>, C V. (2019, December 1). Inclusive agribusiness under climate change: a brief review of the role of finance. Current opinion in environmental sustainability (Print), 41, 18-22. https://doi.org/10.1016/j.cosust.2019.09.014</w:t>
      </w:r>
    </w:p>
    <w:p w14:paraId="6622DD02"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Pushpanathan</w:t>
      </w:r>
      <w:proofErr w:type="spellEnd"/>
      <w:r w:rsidRPr="00E22F20">
        <w:rPr>
          <w:color w:val="000000" w:themeColor="text1"/>
          <w:sz w:val="18"/>
        </w:rPr>
        <w:t>, S. (2023, October 10). Food security in ASEAN: progress, challenges and future. https://www.frontiersin.org/articles/10.3389/fsufs.2023.1260619/full</w:t>
      </w:r>
    </w:p>
    <w:p w14:paraId="62859182"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Rahman, R A., &amp; Dean, F. (2013, October 28). Challenges and solutions in Islamic microfinance. </w:t>
      </w:r>
      <w:proofErr w:type="spellStart"/>
      <w:r w:rsidRPr="00E22F20">
        <w:rPr>
          <w:color w:val="000000" w:themeColor="text1"/>
          <w:sz w:val="18"/>
        </w:rPr>
        <w:t>Humanomics</w:t>
      </w:r>
      <w:proofErr w:type="spellEnd"/>
      <w:r w:rsidRPr="00E22F20">
        <w:rPr>
          <w:color w:val="000000" w:themeColor="text1"/>
          <w:sz w:val="18"/>
        </w:rPr>
        <w:t>, 29(4), 293-306. https://doi.org/10.1108/h-06-2012-0013</w:t>
      </w:r>
    </w:p>
    <w:p w14:paraId="392C04C4"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Rohman</w:t>
      </w:r>
      <w:proofErr w:type="spellEnd"/>
      <w:r w:rsidRPr="00E22F20">
        <w:rPr>
          <w:color w:val="000000" w:themeColor="text1"/>
          <w:sz w:val="18"/>
        </w:rPr>
        <w:t xml:space="preserve">, P S., </w:t>
      </w:r>
      <w:proofErr w:type="spellStart"/>
      <w:r w:rsidRPr="00E22F20">
        <w:rPr>
          <w:color w:val="000000" w:themeColor="text1"/>
          <w:sz w:val="18"/>
        </w:rPr>
        <w:t>Fianto</w:t>
      </w:r>
      <w:proofErr w:type="spellEnd"/>
      <w:r w:rsidRPr="00E22F20">
        <w:rPr>
          <w:color w:val="000000" w:themeColor="text1"/>
          <w:sz w:val="18"/>
        </w:rPr>
        <w:t xml:space="preserve">, B A., Shah, S A </w:t>
      </w:r>
      <w:proofErr w:type="spellStart"/>
      <w:r w:rsidRPr="00E22F20">
        <w:rPr>
          <w:color w:val="000000" w:themeColor="text1"/>
          <w:sz w:val="18"/>
        </w:rPr>
        <w:t>A</w:t>
      </w:r>
      <w:proofErr w:type="spellEnd"/>
      <w:r w:rsidRPr="00E22F20">
        <w:rPr>
          <w:color w:val="000000" w:themeColor="text1"/>
          <w:sz w:val="18"/>
        </w:rPr>
        <w:t xml:space="preserve">., Kayani, U N., </w:t>
      </w:r>
      <w:proofErr w:type="spellStart"/>
      <w:r w:rsidRPr="00E22F20">
        <w:rPr>
          <w:color w:val="000000" w:themeColor="text1"/>
          <w:sz w:val="18"/>
        </w:rPr>
        <w:t>Suprayogi</w:t>
      </w:r>
      <w:proofErr w:type="spellEnd"/>
      <w:r w:rsidRPr="00E22F20">
        <w:rPr>
          <w:color w:val="000000" w:themeColor="text1"/>
          <w:sz w:val="18"/>
        </w:rPr>
        <w:t xml:space="preserve">, N., &amp; </w:t>
      </w:r>
      <w:proofErr w:type="spellStart"/>
      <w:r w:rsidRPr="00E22F20">
        <w:rPr>
          <w:color w:val="000000" w:themeColor="text1"/>
          <w:sz w:val="18"/>
        </w:rPr>
        <w:t>Supriani</w:t>
      </w:r>
      <w:proofErr w:type="spellEnd"/>
      <w:r w:rsidRPr="00E22F20">
        <w:rPr>
          <w:color w:val="000000" w:themeColor="text1"/>
          <w:sz w:val="18"/>
        </w:rPr>
        <w:t xml:space="preserve">, I. (2021, December 1). A review on literature of Islamic microfinance from 2010-2020: lesson for practitioners and future directions. </w:t>
      </w:r>
      <w:proofErr w:type="spellStart"/>
      <w:r w:rsidRPr="00E22F20">
        <w:rPr>
          <w:color w:val="000000" w:themeColor="text1"/>
          <w:sz w:val="18"/>
        </w:rPr>
        <w:t>Heliyon</w:t>
      </w:r>
      <w:proofErr w:type="spellEnd"/>
      <w:r w:rsidRPr="00E22F20">
        <w:rPr>
          <w:color w:val="000000" w:themeColor="text1"/>
          <w:sz w:val="18"/>
        </w:rPr>
        <w:t>, 7(12), e08549-e08549. https://doi.org/10.1016/j.heliyon.2021.e08549</w:t>
      </w:r>
    </w:p>
    <w:p w14:paraId="68BF9331"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Sabiti</w:t>
      </w:r>
      <w:proofErr w:type="spellEnd"/>
      <w:r w:rsidRPr="00E22F20">
        <w:rPr>
          <w:color w:val="000000" w:themeColor="text1"/>
          <w:sz w:val="18"/>
        </w:rPr>
        <w:t xml:space="preserve">, M B., &amp; Effendi, J. (2017, February 15). Islamic Micro Finance and Its Impact on Poverty Reduction of Two Village Models in Bogor, Indonesia. </w:t>
      </w:r>
      <w:proofErr w:type="spellStart"/>
      <w:r w:rsidRPr="00E22F20">
        <w:rPr>
          <w:color w:val="000000" w:themeColor="text1"/>
          <w:sz w:val="18"/>
        </w:rPr>
        <w:t>Signifikan</w:t>
      </w:r>
      <w:proofErr w:type="spellEnd"/>
      <w:r w:rsidRPr="00E22F20">
        <w:rPr>
          <w:color w:val="000000" w:themeColor="text1"/>
          <w:sz w:val="18"/>
        </w:rPr>
        <w:t>, 6(1), 87-102. https://doi.org/10.15408/sjie.v6i1.4337</w:t>
      </w:r>
    </w:p>
    <w:p w14:paraId="187E9D4A"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Shafiai</w:t>
      </w:r>
      <w:proofErr w:type="spellEnd"/>
      <w:r w:rsidRPr="00E22F20">
        <w:rPr>
          <w:color w:val="000000" w:themeColor="text1"/>
          <w:sz w:val="18"/>
        </w:rPr>
        <w:t>, M H M., &amp; Moi, M R. (2015, January 14). Financial Problems among Farmers in Malaysia: Islamic Agricultural Finance as a Possible Solution. Asian social science, 11(4). https://doi.org/10.5539/ass.v11n4p1</w:t>
      </w:r>
    </w:p>
    <w:p w14:paraId="4C64D53B"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Shahid, M., Bhatti, F A., </w:t>
      </w:r>
      <w:proofErr w:type="spellStart"/>
      <w:r w:rsidRPr="00E22F20">
        <w:rPr>
          <w:color w:val="000000" w:themeColor="text1"/>
          <w:sz w:val="18"/>
        </w:rPr>
        <w:t>Mohtesham</w:t>
      </w:r>
      <w:proofErr w:type="spellEnd"/>
      <w:r w:rsidRPr="00E22F20">
        <w:rPr>
          <w:color w:val="000000" w:themeColor="text1"/>
          <w:sz w:val="18"/>
        </w:rPr>
        <w:t xml:space="preserve">, M </w:t>
      </w:r>
      <w:proofErr w:type="spellStart"/>
      <w:r w:rsidRPr="00E22F20">
        <w:rPr>
          <w:color w:val="000000" w:themeColor="text1"/>
          <w:sz w:val="18"/>
        </w:rPr>
        <w:t>M</w:t>
      </w:r>
      <w:proofErr w:type="spellEnd"/>
      <w:r w:rsidRPr="00E22F20">
        <w:rPr>
          <w:color w:val="000000" w:themeColor="text1"/>
          <w:sz w:val="18"/>
        </w:rPr>
        <w:t xml:space="preserve"> J., &amp; </w:t>
      </w:r>
      <w:proofErr w:type="spellStart"/>
      <w:r w:rsidRPr="00E22F20">
        <w:rPr>
          <w:color w:val="000000" w:themeColor="text1"/>
          <w:sz w:val="18"/>
        </w:rPr>
        <w:t>Mahadi</w:t>
      </w:r>
      <w:proofErr w:type="spellEnd"/>
      <w:r w:rsidRPr="00E22F20">
        <w:rPr>
          <w:color w:val="000000" w:themeColor="text1"/>
          <w:sz w:val="18"/>
        </w:rPr>
        <w:t xml:space="preserve">, N F. (2022, June 12). The Value Propositions and The Nature of The Islamic Banks Products and Services in Providing </w:t>
      </w:r>
      <w:proofErr w:type="gramStart"/>
      <w:r w:rsidRPr="00E22F20">
        <w:rPr>
          <w:color w:val="000000" w:themeColor="text1"/>
          <w:sz w:val="18"/>
        </w:rPr>
        <w:t>The</w:t>
      </w:r>
      <w:proofErr w:type="gramEnd"/>
      <w:r w:rsidRPr="00E22F20">
        <w:rPr>
          <w:color w:val="000000" w:themeColor="text1"/>
          <w:sz w:val="18"/>
        </w:rPr>
        <w:t xml:space="preserve"> Solution/s for The Financial Needs of </w:t>
      </w:r>
      <w:proofErr w:type="spellStart"/>
      <w:r w:rsidRPr="00E22F20">
        <w:rPr>
          <w:color w:val="000000" w:themeColor="text1"/>
          <w:sz w:val="18"/>
        </w:rPr>
        <w:t>Bimb</w:t>
      </w:r>
      <w:proofErr w:type="spellEnd"/>
      <w:r w:rsidRPr="00E22F20">
        <w:rPr>
          <w:color w:val="000000" w:themeColor="text1"/>
          <w:sz w:val="18"/>
        </w:rPr>
        <w:t xml:space="preserve"> Business Customer Segments. https://doi.org/10.21154/elbarka.v5i1.3815</w:t>
      </w:r>
    </w:p>
    <w:p w14:paraId="53551EDC"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Sporleder</w:t>
      </w:r>
      <w:proofErr w:type="spellEnd"/>
      <w:r w:rsidRPr="00E22F20">
        <w:rPr>
          <w:color w:val="000000" w:themeColor="text1"/>
          <w:sz w:val="18"/>
        </w:rPr>
        <w:t>, T L. (1999, December 1). Capital Market Innovations and Agricultural Cooperatives. American Journal of Agricultural Economics, 81(5), 1247-1249. https://doi.org/10.2307/1244115</w:t>
      </w:r>
    </w:p>
    <w:p w14:paraId="038DC361" w14:textId="77777777" w:rsid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Syifa</w:t>
      </w:r>
      <w:proofErr w:type="spellEnd"/>
      <w:r w:rsidRPr="00E22F20">
        <w:rPr>
          <w:color w:val="000000" w:themeColor="text1"/>
          <w:sz w:val="18"/>
        </w:rPr>
        <w:t xml:space="preserve">, D L., &amp; </w:t>
      </w:r>
      <w:proofErr w:type="spellStart"/>
      <w:r w:rsidRPr="00E22F20">
        <w:rPr>
          <w:color w:val="000000" w:themeColor="text1"/>
          <w:sz w:val="18"/>
        </w:rPr>
        <w:t>Ridlwan</w:t>
      </w:r>
      <w:proofErr w:type="spellEnd"/>
      <w:r w:rsidRPr="00E22F20">
        <w:rPr>
          <w:color w:val="000000" w:themeColor="text1"/>
          <w:sz w:val="18"/>
        </w:rPr>
        <w:t xml:space="preserve">, A </w:t>
      </w:r>
      <w:proofErr w:type="spellStart"/>
      <w:r w:rsidRPr="00E22F20">
        <w:rPr>
          <w:color w:val="000000" w:themeColor="text1"/>
          <w:sz w:val="18"/>
        </w:rPr>
        <w:t>A</w:t>
      </w:r>
      <w:proofErr w:type="spellEnd"/>
      <w:r w:rsidRPr="00E22F20">
        <w:rPr>
          <w:color w:val="000000" w:themeColor="text1"/>
          <w:sz w:val="18"/>
        </w:rPr>
        <w:t xml:space="preserve">. (2021, July 1). Improving Agricultural Sector: The Role of </w:t>
      </w:r>
      <w:proofErr w:type="spellStart"/>
      <w:r w:rsidRPr="00E22F20">
        <w:rPr>
          <w:color w:val="000000" w:themeColor="text1"/>
          <w:sz w:val="18"/>
        </w:rPr>
        <w:t>Mudharabah</w:t>
      </w:r>
      <w:proofErr w:type="spellEnd"/>
      <w:r w:rsidRPr="00E22F20">
        <w:rPr>
          <w:color w:val="000000" w:themeColor="text1"/>
          <w:sz w:val="18"/>
        </w:rPr>
        <w:t xml:space="preserve"> Financing (Study on Sharia Financing Savings and Loans Cooperatives). </w:t>
      </w:r>
      <w:proofErr w:type="spellStart"/>
      <w:r w:rsidRPr="00E22F20">
        <w:rPr>
          <w:color w:val="000000" w:themeColor="text1"/>
          <w:sz w:val="18"/>
        </w:rPr>
        <w:t>Economica</w:t>
      </w:r>
      <w:proofErr w:type="spellEnd"/>
      <w:r w:rsidRPr="00E22F20">
        <w:rPr>
          <w:color w:val="000000" w:themeColor="text1"/>
          <w:sz w:val="18"/>
        </w:rPr>
        <w:t xml:space="preserve"> (Semarang), 12(1), 55-74. https://doi.org/10.21580/economica.2021.12.1.3829</w:t>
      </w:r>
    </w:p>
    <w:p w14:paraId="45291832" w14:textId="0BB03D39" w:rsidR="00780415" w:rsidRPr="00E22F20" w:rsidRDefault="00780415" w:rsidP="00E22F20">
      <w:pPr>
        <w:spacing w:before="2" w:line="254" w:lineRule="auto"/>
        <w:ind w:left="454" w:right="111" w:hanging="340"/>
        <w:jc w:val="both"/>
        <w:rPr>
          <w:color w:val="000000" w:themeColor="text1"/>
          <w:sz w:val="18"/>
        </w:rPr>
      </w:pPr>
      <w:r w:rsidRPr="00780415">
        <w:rPr>
          <w:color w:val="000000" w:themeColor="text1"/>
          <w:sz w:val="18"/>
        </w:rPr>
        <w:t>Obaidullah, M. (2008). Introduction to Islamic microfinance. Mohammed Obaidullah, Introduction to Islamic Microfinance, IBF Net Limited.</w:t>
      </w:r>
    </w:p>
    <w:p w14:paraId="708D1177"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 xml:space="preserve">Tan, K G., </w:t>
      </w:r>
      <w:proofErr w:type="spellStart"/>
      <w:r w:rsidRPr="00E22F20">
        <w:rPr>
          <w:color w:val="000000" w:themeColor="text1"/>
          <w:sz w:val="18"/>
        </w:rPr>
        <w:t>Haoran</w:t>
      </w:r>
      <w:proofErr w:type="spellEnd"/>
      <w:r w:rsidRPr="00E22F20">
        <w:rPr>
          <w:color w:val="000000" w:themeColor="text1"/>
          <w:sz w:val="18"/>
        </w:rPr>
        <w:t xml:space="preserve">, S., &amp; </w:t>
      </w:r>
      <w:proofErr w:type="spellStart"/>
      <w:r w:rsidRPr="00E22F20">
        <w:rPr>
          <w:color w:val="000000" w:themeColor="text1"/>
          <w:sz w:val="18"/>
        </w:rPr>
        <w:t>Rajan</w:t>
      </w:r>
      <w:proofErr w:type="spellEnd"/>
      <w:r w:rsidRPr="00E22F20">
        <w:rPr>
          <w:color w:val="000000" w:themeColor="text1"/>
          <w:sz w:val="18"/>
        </w:rPr>
        <w:t>, R S. (2017, January 1). Measuring agricultural total factor productivity for the Association of Southeast Asian Nations region. International Journal of Technological Learning, Innovation and Development, 9(2), 169-</w:t>
      </w:r>
      <w:r w:rsidRPr="00E22F20">
        <w:rPr>
          <w:color w:val="000000" w:themeColor="text1"/>
          <w:sz w:val="18"/>
        </w:rPr>
        <w:t>169. https://doi.org/10.1504/ijtlid.2017.084943</w:t>
      </w:r>
    </w:p>
    <w:p w14:paraId="6EE3E908" w14:textId="77777777" w:rsidR="00E22F20" w:rsidRPr="00E22F20" w:rsidRDefault="00E22F20" w:rsidP="00E22F20">
      <w:pPr>
        <w:spacing w:before="2" w:line="254" w:lineRule="auto"/>
        <w:ind w:left="454" w:right="111" w:hanging="340"/>
        <w:jc w:val="both"/>
        <w:rPr>
          <w:color w:val="000000" w:themeColor="text1"/>
          <w:sz w:val="18"/>
        </w:rPr>
      </w:pPr>
      <w:r w:rsidRPr="00E22F20">
        <w:rPr>
          <w:color w:val="000000" w:themeColor="text1"/>
          <w:sz w:val="18"/>
        </w:rPr>
        <w:t>Wahab, N A., Bin-</w:t>
      </w:r>
      <w:proofErr w:type="spellStart"/>
      <w:r w:rsidRPr="00E22F20">
        <w:rPr>
          <w:color w:val="000000" w:themeColor="text1"/>
          <w:sz w:val="18"/>
        </w:rPr>
        <w:t>Nashwan</w:t>
      </w:r>
      <w:proofErr w:type="spellEnd"/>
      <w:r w:rsidRPr="00E22F20">
        <w:rPr>
          <w:color w:val="000000" w:themeColor="text1"/>
          <w:sz w:val="18"/>
        </w:rPr>
        <w:t xml:space="preserve">, S A., </w:t>
      </w:r>
      <w:proofErr w:type="spellStart"/>
      <w:r w:rsidRPr="00E22F20">
        <w:rPr>
          <w:color w:val="000000" w:themeColor="text1"/>
          <w:sz w:val="18"/>
        </w:rPr>
        <w:t>Chik</w:t>
      </w:r>
      <w:proofErr w:type="spellEnd"/>
      <w:r w:rsidRPr="00E22F20">
        <w:rPr>
          <w:color w:val="000000" w:themeColor="text1"/>
          <w:sz w:val="18"/>
        </w:rPr>
        <w:t xml:space="preserve">, M N., &amp; </w:t>
      </w:r>
      <w:proofErr w:type="spellStart"/>
      <w:r w:rsidRPr="00E22F20">
        <w:rPr>
          <w:color w:val="000000" w:themeColor="text1"/>
          <w:sz w:val="18"/>
        </w:rPr>
        <w:t>Hussin</w:t>
      </w:r>
      <w:proofErr w:type="spellEnd"/>
      <w:r w:rsidRPr="00E22F20">
        <w:rPr>
          <w:color w:val="000000" w:themeColor="text1"/>
          <w:sz w:val="18"/>
        </w:rPr>
        <w:t xml:space="preserve">, M Y M. (2023, March 6). Islamic Social Finance Initiatives: An Insight into Bank Islam Malaysia </w:t>
      </w:r>
      <w:proofErr w:type="spellStart"/>
      <w:r w:rsidRPr="00E22F20">
        <w:rPr>
          <w:color w:val="000000" w:themeColor="text1"/>
          <w:sz w:val="18"/>
        </w:rPr>
        <w:t>Berhad’s</w:t>
      </w:r>
      <w:proofErr w:type="spellEnd"/>
      <w:r w:rsidRPr="00E22F20">
        <w:rPr>
          <w:color w:val="000000" w:themeColor="text1"/>
          <w:sz w:val="18"/>
        </w:rPr>
        <w:t xml:space="preserve"> Innovative </w:t>
      </w:r>
      <w:proofErr w:type="spellStart"/>
      <w:r w:rsidRPr="00E22F20">
        <w:rPr>
          <w:color w:val="000000" w:themeColor="text1"/>
          <w:sz w:val="18"/>
        </w:rPr>
        <w:t>BangKIT</w:t>
      </w:r>
      <w:proofErr w:type="spellEnd"/>
      <w:r w:rsidRPr="00E22F20">
        <w:rPr>
          <w:color w:val="000000" w:themeColor="text1"/>
          <w:sz w:val="18"/>
        </w:rPr>
        <w:t xml:space="preserve"> Microfinance Product. ISRA international journal of Islamic finance (Print), 15(1), 22-35. https://doi.org/10.55188/ijif.v15i1.483</w:t>
      </w:r>
    </w:p>
    <w:p w14:paraId="386FB9D7" w14:textId="77777777" w:rsidR="00E22F20" w:rsidRPr="00E22F2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Wulandari</w:t>
      </w:r>
      <w:proofErr w:type="spellEnd"/>
      <w:r w:rsidRPr="00E22F20">
        <w:rPr>
          <w:color w:val="000000" w:themeColor="text1"/>
          <w:sz w:val="18"/>
        </w:rPr>
        <w:t xml:space="preserve">, P., </w:t>
      </w:r>
      <w:proofErr w:type="spellStart"/>
      <w:r w:rsidRPr="00E22F20">
        <w:rPr>
          <w:color w:val="000000" w:themeColor="text1"/>
          <w:sz w:val="18"/>
        </w:rPr>
        <w:t>Kassim</w:t>
      </w:r>
      <w:proofErr w:type="spellEnd"/>
      <w:r w:rsidRPr="00E22F20">
        <w:rPr>
          <w:color w:val="000000" w:themeColor="text1"/>
          <w:sz w:val="18"/>
        </w:rPr>
        <w:t xml:space="preserve">, S., Sulung, L A K., &amp; Putri, N I S. (2016, August 8). Unique aspects of the Islamic microfinance financing process. </w:t>
      </w:r>
      <w:proofErr w:type="spellStart"/>
      <w:r w:rsidRPr="00E22F20">
        <w:rPr>
          <w:color w:val="000000" w:themeColor="text1"/>
          <w:sz w:val="18"/>
        </w:rPr>
        <w:t>Humanomics</w:t>
      </w:r>
      <w:proofErr w:type="spellEnd"/>
      <w:r w:rsidRPr="00E22F20">
        <w:rPr>
          <w:color w:val="000000" w:themeColor="text1"/>
          <w:sz w:val="18"/>
        </w:rPr>
        <w:t>, 32(3), 230-247. https://doi.org/10.1108/h-09-2014-0062</w:t>
      </w:r>
    </w:p>
    <w:p w14:paraId="750679AB" w14:textId="3139302B" w:rsidR="00BB4270" w:rsidRDefault="00E22F20" w:rsidP="00E22F20">
      <w:pPr>
        <w:spacing w:before="2" w:line="254" w:lineRule="auto"/>
        <w:ind w:left="454" w:right="111" w:hanging="340"/>
        <w:jc w:val="both"/>
        <w:rPr>
          <w:color w:val="000000" w:themeColor="text1"/>
          <w:sz w:val="18"/>
        </w:rPr>
      </w:pPr>
      <w:proofErr w:type="spellStart"/>
      <w:r w:rsidRPr="00E22F20">
        <w:rPr>
          <w:color w:val="000000" w:themeColor="text1"/>
          <w:sz w:val="18"/>
        </w:rPr>
        <w:t>Zaimsyah</w:t>
      </w:r>
      <w:proofErr w:type="spellEnd"/>
      <w:r w:rsidRPr="00E22F20">
        <w:rPr>
          <w:color w:val="000000" w:themeColor="text1"/>
          <w:sz w:val="18"/>
        </w:rPr>
        <w:t>, A M. (2020, June 9). Factors Affecting the Distribution of Micro, Small and Medium Enterprises (MSME) Financing in Islamic Banks. http://journal.iaincurup.ac.id/index.php/alfalah/article/view/1156</w:t>
      </w:r>
    </w:p>
    <w:p w14:paraId="23C1691C" w14:textId="4DEA1729" w:rsidR="00BB4270" w:rsidRDefault="00BB4270">
      <w:pPr>
        <w:spacing w:before="2" w:line="254" w:lineRule="auto"/>
        <w:ind w:left="454" w:right="111" w:hanging="340"/>
        <w:jc w:val="both"/>
        <w:rPr>
          <w:color w:val="000000" w:themeColor="text1"/>
          <w:sz w:val="18"/>
        </w:rPr>
      </w:pPr>
    </w:p>
    <w:p w14:paraId="28875E62" w14:textId="6C3C8AF3" w:rsidR="00BB4270" w:rsidRDefault="00BB4270">
      <w:pPr>
        <w:spacing w:before="2" w:line="254" w:lineRule="auto"/>
        <w:ind w:left="454" w:right="111" w:hanging="340"/>
        <w:jc w:val="both"/>
        <w:rPr>
          <w:color w:val="000000" w:themeColor="text1"/>
          <w:sz w:val="18"/>
        </w:rPr>
      </w:pPr>
    </w:p>
    <w:p w14:paraId="69AB72B4" w14:textId="715C48EA" w:rsidR="00BB4270" w:rsidRDefault="00BB4270">
      <w:pPr>
        <w:spacing w:before="2" w:line="254" w:lineRule="auto"/>
        <w:ind w:left="454" w:right="111" w:hanging="340"/>
        <w:jc w:val="both"/>
        <w:rPr>
          <w:color w:val="000000" w:themeColor="text1"/>
          <w:sz w:val="18"/>
        </w:rPr>
      </w:pPr>
    </w:p>
    <w:p w14:paraId="7C663DED" w14:textId="7962B64A" w:rsidR="00BB4270" w:rsidRDefault="00BB4270">
      <w:pPr>
        <w:spacing w:before="2" w:line="254" w:lineRule="auto"/>
        <w:ind w:left="454" w:right="111" w:hanging="340"/>
        <w:jc w:val="both"/>
        <w:rPr>
          <w:color w:val="000000" w:themeColor="text1"/>
          <w:sz w:val="18"/>
        </w:rPr>
      </w:pPr>
    </w:p>
    <w:p w14:paraId="3904A833" w14:textId="02B57417" w:rsidR="00BB4270" w:rsidRDefault="00BB4270">
      <w:pPr>
        <w:spacing w:before="2" w:line="254" w:lineRule="auto"/>
        <w:ind w:left="454" w:right="111" w:hanging="340"/>
        <w:jc w:val="both"/>
        <w:rPr>
          <w:color w:val="000000" w:themeColor="text1"/>
          <w:sz w:val="18"/>
        </w:rPr>
      </w:pPr>
    </w:p>
    <w:p w14:paraId="06333561" w14:textId="7593855B" w:rsidR="00BB4270" w:rsidRDefault="00BB4270">
      <w:pPr>
        <w:spacing w:before="2" w:line="254" w:lineRule="auto"/>
        <w:ind w:left="454" w:right="111" w:hanging="340"/>
        <w:jc w:val="both"/>
        <w:rPr>
          <w:color w:val="000000" w:themeColor="text1"/>
          <w:sz w:val="18"/>
        </w:rPr>
      </w:pPr>
    </w:p>
    <w:p w14:paraId="376FF0F5" w14:textId="5C7BA9C3" w:rsidR="00BB4270" w:rsidRDefault="00BB4270">
      <w:pPr>
        <w:spacing w:before="2" w:line="254" w:lineRule="auto"/>
        <w:ind w:left="454" w:right="111" w:hanging="340"/>
        <w:jc w:val="both"/>
        <w:rPr>
          <w:color w:val="000000" w:themeColor="text1"/>
          <w:sz w:val="18"/>
        </w:rPr>
      </w:pPr>
    </w:p>
    <w:p w14:paraId="0F2C97FA" w14:textId="3CCF0825" w:rsidR="00BB4270" w:rsidRDefault="00BB4270">
      <w:pPr>
        <w:spacing w:before="2" w:line="254" w:lineRule="auto"/>
        <w:ind w:left="454" w:right="111" w:hanging="340"/>
        <w:jc w:val="both"/>
        <w:rPr>
          <w:color w:val="000000" w:themeColor="text1"/>
          <w:sz w:val="18"/>
        </w:rPr>
      </w:pPr>
    </w:p>
    <w:p w14:paraId="6D78415D" w14:textId="39708964" w:rsidR="00BB4270" w:rsidRDefault="00BB4270">
      <w:pPr>
        <w:spacing w:before="2" w:line="254" w:lineRule="auto"/>
        <w:ind w:left="454" w:right="111" w:hanging="340"/>
        <w:jc w:val="both"/>
        <w:rPr>
          <w:color w:val="000000" w:themeColor="text1"/>
          <w:sz w:val="18"/>
        </w:rPr>
      </w:pPr>
    </w:p>
    <w:p w14:paraId="2D539DDE" w14:textId="7BDC0DA2" w:rsidR="00BB4270" w:rsidRDefault="00BB4270">
      <w:pPr>
        <w:spacing w:before="2" w:line="254" w:lineRule="auto"/>
        <w:ind w:left="454" w:right="111" w:hanging="340"/>
        <w:jc w:val="both"/>
        <w:rPr>
          <w:color w:val="000000" w:themeColor="text1"/>
          <w:sz w:val="18"/>
        </w:rPr>
      </w:pPr>
    </w:p>
    <w:p w14:paraId="440404B3" w14:textId="693522D0" w:rsidR="00BB4270" w:rsidRDefault="00BB4270">
      <w:pPr>
        <w:spacing w:before="2" w:line="254" w:lineRule="auto"/>
        <w:ind w:left="454" w:right="111" w:hanging="340"/>
        <w:jc w:val="both"/>
        <w:rPr>
          <w:color w:val="000000" w:themeColor="text1"/>
          <w:sz w:val="18"/>
        </w:rPr>
      </w:pPr>
    </w:p>
    <w:p w14:paraId="368572F5" w14:textId="38980256" w:rsidR="00BB4270" w:rsidRDefault="00BB4270">
      <w:pPr>
        <w:spacing w:before="2" w:line="254" w:lineRule="auto"/>
        <w:ind w:left="454" w:right="111" w:hanging="340"/>
        <w:jc w:val="both"/>
        <w:rPr>
          <w:color w:val="000000" w:themeColor="text1"/>
          <w:sz w:val="18"/>
        </w:rPr>
      </w:pPr>
    </w:p>
    <w:p w14:paraId="3A9E7535" w14:textId="6C035588" w:rsidR="00BB4270" w:rsidRDefault="00BB4270">
      <w:pPr>
        <w:spacing w:before="2" w:line="254" w:lineRule="auto"/>
        <w:ind w:left="454" w:right="111" w:hanging="340"/>
        <w:jc w:val="both"/>
        <w:rPr>
          <w:color w:val="000000" w:themeColor="text1"/>
          <w:sz w:val="18"/>
        </w:rPr>
      </w:pPr>
    </w:p>
    <w:p w14:paraId="56F53618" w14:textId="182921F2" w:rsidR="00BB4270" w:rsidRDefault="00BB4270">
      <w:pPr>
        <w:spacing w:before="2" w:line="254" w:lineRule="auto"/>
        <w:ind w:left="454" w:right="111" w:hanging="340"/>
        <w:jc w:val="both"/>
        <w:rPr>
          <w:color w:val="000000" w:themeColor="text1"/>
          <w:sz w:val="18"/>
        </w:rPr>
      </w:pPr>
    </w:p>
    <w:p w14:paraId="7D07F19D" w14:textId="34CD16C9" w:rsidR="00BB4270" w:rsidRDefault="00BB4270">
      <w:pPr>
        <w:spacing w:before="2" w:line="254" w:lineRule="auto"/>
        <w:ind w:left="454" w:right="111" w:hanging="340"/>
        <w:jc w:val="both"/>
        <w:rPr>
          <w:color w:val="000000" w:themeColor="text1"/>
          <w:sz w:val="18"/>
        </w:rPr>
      </w:pPr>
    </w:p>
    <w:p w14:paraId="3AEFF583" w14:textId="22AA69EC" w:rsidR="00BB4270" w:rsidRDefault="00BB4270">
      <w:pPr>
        <w:spacing w:before="2" w:line="254" w:lineRule="auto"/>
        <w:ind w:left="454" w:right="111" w:hanging="340"/>
        <w:jc w:val="both"/>
        <w:rPr>
          <w:color w:val="000000" w:themeColor="text1"/>
          <w:sz w:val="18"/>
        </w:rPr>
      </w:pPr>
    </w:p>
    <w:p w14:paraId="02E52799" w14:textId="77777777" w:rsidR="00BB4270" w:rsidRPr="00947C46" w:rsidRDefault="00BB4270" w:rsidP="00F04652">
      <w:pPr>
        <w:spacing w:before="2" w:line="254" w:lineRule="auto"/>
        <w:ind w:right="111"/>
        <w:jc w:val="both"/>
        <w:rPr>
          <w:color w:val="000000" w:themeColor="text1"/>
          <w:sz w:val="18"/>
        </w:rPr>
      </w:pPr>
    </w:p>
    <w:sectPr w:rsidR="00BB4270" w:rsidRPr="00947C46" w:rsidSect="00362BD4">
      <w:type w:val="continuous"/>
      <w:pgSz w:w="12240" w:h="15840"/>
      <w:pgMar w:top="800" w:right="680" w:bottom="560" w:left="680" w:header="328" w:footer="361" w:gutter="0"/>
      <w:cols w:num="2" w:space="720" w:equalWidth="0">
        <w:col w:w="5310" w:space="195"/>
        <w:col w:w="537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D4646" w14:textId="77777777" w:rsidR="00F849FC" w:rsidRDefault="00F849FC">
      <w:r>
        <w:separator/>
      </w:r>
    </w:p>
  </w:endnote>
  <w:endnote w:type="continuationSeparator" w:id="0">
    <w:p w14:paraId="7ACED179" w14:textId="77777777" w:rsidR="00F849FC" w:rsidRDefault="00F8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0DED" w14:textId="32384186" w:rsidR="009C4C65" w:rsidRDefault="009C4C65">
    <w:pPr>
      <w:pStyle w:val="BodyText"/>
      <w:spacing w:line="14" w:lineRule="auto"/>
      <w:ind w:left="0"/>
    </w:pPr>
    <w:r>
      <w:rPr>
        <w:noProof/>
      </w:rPr>
      <mc:AlternateContent>
        <mc:Choice Requires="wps">
          <w:drawing>
            <wp:anchor distT="0" distB="0" distL="114300" distR="114300" simplePos="0" relativeHeight="487028224" behindDoc="1" locked="0" layoutInCell="1" allowOverlap="1" wp14:anchorId="4E30679C" wp14:editId="06FA68A3">
              <wp:simplePos x="0" y="0"/>
              <wp:positionH relativeFrom="page">
                <wp:posOffset>614045</wp:posOffset>
              </wp:positionH>
              <wp:positionV relativeFrom="page">
                <wp:posOffset>9688830</wp:posOffset>
              </wp:positionV>
              <wp:extent cx="133350" cy="152400"/>
              <wp:effectExtent l="0" t="0" r="6350" b="0"/>
              <wp:wrapNone/>
              <wp:docPr id="19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B9467" w14:textId="77777777" w:rsidR="009C4C65" w:rsidRDefault="009C4C65">
                          <w:pPr>
                            <w:spacing w:before="12"/>
                            <w:ind w:left="60"/>
                            <w:rPr>
                              <w:sz w:val="18"/>
                            </w:rPr>
                          </w:pPr>
                          <w:r>
                            <w:fldChar w:fldCharType="begin"/>
                          </w:r>
                          <w:r>
                            <w:rPr>
                              <w:color w:val="FFFFFF"/>
                              <w:sz w:val="18"/>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0679C" id="_x0000_t202" coordsize="21600,21600" o:spt="202" path="m,l,21600r21600,l21600,xe">
              <v:stroke joinstyle="miter"/>
              <v:path gradientshapeok="t" o:connecttype="rect"/>
            </v:shapetype>
            <v:shape id="Text Box 74" o:spid="_x0000_s1026" type="#_x0000_t202" style="position:absolute;margin-left:48.35pt;margin-top:762.9pt;width:10.5pt;height:12pt;z-index:-162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" filled="f" stroked="f">
              <v:path arrowok="t"/>
              <v:textbox inset="0,0,0,0">
                <w:txbxContent>
                  <w:p w14:paraId="2E4B9467" w14:textId="77777777" w:rsidR="009C4C65" w:rsidRDefault="009C4C65">
                    <w:pPr>
                      <w:spacing w:before="12"/>
                      <w:ind w:left="60"/>
                      <w:rPr>
                        <w:sz w:val="18"/>
                      </w:rPr>
                    </w:pPr>
                    <w:r>
                      <w:fldChar w:fldCharType="begin"/>
                    </w:r>
                    <w:r>
                      <w:rPr>
                        <w:color w:val="FFFFFF"/>
                        <w:sz w:val="18"/>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028736" behindDoc="1" locked="0" layoutInCell="1" allowOverlap="1" wp14:anchorId="7B604793" wp14:editId="0A23C745">
              <wp:simplePos x="0" y="0"/>
              <wp:positionH relativeFrom="page">
                <wp:posOffset>3048000</wp:posOffset>
              </wp:positionH>
              <wp:positionV relativeFrom="page">
                <wp:posOffset>9704705</wp:posOffset>
              </wp:positionV>
              <wp:extent cx="3437890" cy="152400"/>
              <wp:effectExtent l="0" t="0" r="3810" b="0"/>
              <wp:wrapNone/>
              <wp:docPr id="19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78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FD962" w14:textId="77777777" w:rsidR="009C4C65" w:rsidRDefault="009C4C65">
                          <w:pPr>
                            <w:spacing w:before="12"/>
                            <w:ind w:left="20"/>
                            <w:rPr>
                              <w:sz w:val="16"/>
                            </w:rPr>
                          </w:pPr>
                          <w:r>
                            <w:rPr>
                              <w:color w:val="FFFFFF"/>
                              <w:sz w:val="18"/>
                            </w:rPr>
                            <w:t>International</w:t>
                          </w:r>
                          <w:r>
                            <w:rPr>
                              <w:color w:val="FFFFFF"/>
                              <w:spacing w:val="-4"/>
                              <w:sz w:val="18"/>
                            </w:rPr>
                            <w:t xml:space="preserve"> </w:t>
                          </w:r>
                          <w:r>
                            <w:rPr>
                              <w:color w:val="FFFFFF"/>
                              <w:sz w:val="18"/>
                            </w:rPr>
                            <w:t>Review</w:t>
                          </w:r>
                          <w:r>
                            <w:rPr>
                              <w:color w:val="FFFFFF"/>
                              <w:spacing w:val="-3"/>
                              <w:sz w:val="18"/>
                            </w:rPr>
                            <w:t xml:space="preserve"> </w:t>
                          </w:r>
                          <w:r>
                            <w:rPr>
                              <w:color w:val="FFFFFF"/>
                              <w:sz w:val="18"/>
                            </w:rPr>
                            <w:t>of</w:t>
                          </w:r>
                          <w:r>
                            <w:rPr>
                              <w:color w:val="FFFFFF"/>
                              <w:spacing w:val="-4"/>
                              <w:sz w:val="18"/>
                            </w:rPr>
                            <w:t xml:space="preserve"> </w:t>
                          </w:r>
                          <w:r>
                            <w:rPr>
                              <w:color w:val="FFFFFF"/>
                              <w:sz w:val="18"/>
                            </w:rPr>
                            <w:t>Management</w:t>
                          </w:r>
                          <w:r>
                            <w:rPr>
                              <w:color w:val="FFFFFF"/>
                              <w:spacing w:val="-4"/>
                              <w:sz w:val="18"/>
                            </w:rPr>
                            <w:t xml:space="preserve"> </w:t>
                          </w:r>
                          <w:r>
                            <w:rPr>
                              <w:color w:val="FFFFFF"/>
                              <w:sz w:val="18"/>
                            </w:rPr>
                            <w:t>and</w:t>
                          </w:r>
                          <w:r>
                            <w:rPr>
                              <w:color w:val="FFFFFF"/>
                              <w:spacing w:val="-3"/>
                              <w:sz w:val="18"/>
                            </w:rPr>
                            <w:t xml:space="preserve"> </w:t>
                          </w:r>
                          <w:r>
                            <w:rPr>
                              <w:color w:val="FFFFFF"/>
                              <w:sz w:val="18"/>
                            </w:rPr>
                            <w:t>Marketing</w:t>
                          </w:r>
                          <w:r>
                            <w:rPr>
                              <w:color w:val="FFFFFF"/>
                              <w:spacing w:val="-4"/>
                              <w:sz w:val="18"/>
                            </w:rPr>
                            <w:t xml:space="preserve"> </w:t>
                          </w:r>
                          <w:r>
                            <w:rPr>
                              <w:color w:val="FFFFFF"/>
                              <w:sz w:val="18"/>
                            </w:rPr>
                            <w:t>|</w:t>
                          </w:r>
                          <w:r>
                            <w:rPr>
                              <w:color w:val="FFFFFF"/>
                              <w:spacing w:val="-4"/>
                              <w:sz w:val="18"/>
                            </w:rPr>
                            <w:t xml:space="preserve"> </w:t>
                          </w:r>
                          <w:r>
                            <w:rPr>
                              <w:color w:val="FFFFFF"/>
                              <w:sz w:val="16"/>
                            </w:rPr>
                            <w:t>Vol</w:t>
                          </w:r>
                          <w:r>
                            <w:rPr>
                              <w:color w:val="FFFFFF"/>
                              <w:spacing w:val="-3"/>
                              <w:sz w:val="16"/>
                            </w:rPr>
                            <w:t xml:space="preserve"> </w:t>
                          </w:r>
                          <w:r>
                            <w:rPr>
                              <w:color w:val="FFFFFF"/>
                              <w:sz w:val="16"/>
                            </w:rPr>
                            <w:t>11</w:t>
                          </w:r>
                          <w:r>
                            <w:rPr>
                              <w:color w:val="FFFFFF"/>
                              <w:spacing w:val="-3"/>
                              <w:sz w:val="16"/>
                            </w:rPr>
                            <w:t xml:space="preserve"> </w:t>
                          </w:r>
                          <w:r>
                            <w:rPr>
                              <w:color w:val="FFFFFF"/>
                              <w:sz w:val="16"/>
                            </w:rPr>
                            <w:t>•</w:t>
                          </w:r>
                          <w:r>
                            <w:rPr>
                              <w:color w:val="FFFFFF"/>
                              <w:spacing w:val="-4"/>
                              <w:sz w:val="16"/>
                            </w:rPr>
                            <w:t xml:space="preserve"> </w:t>
                          </w:r>
                          <w:r>
                            <w:rPr>
                              <w:color w:val="FFFFFF"/>
                              <w:sz w:val="16"/>
                            </w:rPr>
                            <w:t>Issue</w:t>
                          </w:r>
                          <w:r>
                            <w:rPr>
                              <w:color w:val="FFFFFF"/>
                              <w:spacing w:val="-3"/>
                              <w:sz w:val="16"/>
                            </w:rPr>
                            <w:t xml:space="preserve"> </w:t>
                          </w:r>
                          <w:r>
                            <w:rPr>
                              <w:color w:val="FFFFFF"/>
                              <w:sz w:val="16"/>
                            </w:rPr>
                            <w:t>3</w:t>
                          </w:r>
                          <w:r>
                            <w:rPr>
                              <w:color w:val="FFFFFF"/>
                              <w:spacing w:val="-3"/>
                              <w:sz w:val="16"/>
                            </w:rPr>
                            <w:t xml:space="preserve"> </w:t>
                          </w:r>
                          <w:r>
                            <w:rPr>
                              <w:color w:val="FFFFFF"/>
                              <w:sz w:val="16"/>
                            </w:rPr>
                            <w:t>•</w:t>
                          </w:r>
                          <w:r>
                            <w:rPr>
                              <w:color w:val="FFFFFF"/>
                              <w:spacing w:val="-3"/>
                              <w:sz w:val="16"/>
                            </w:rPr>
                            <w:t xml:space="preserve"> </w:t>
                          </w:r>
                          <w:r>
                            <w:rPr>
                              <w:color w:val="FFFFFF"/>
                              <w:sz w:val="16"/>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04793" id="Text Box 73" o:spid="_x0000_s1027" type="#_x0000_t202" style="position:absolute;margin-left:240pt;margin-top:764.15pt;width:270.7pt;height:12pt;z-index:-162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" filled="f" stroked="f">
              <v:path arrowok="t"/>
              <v:textbox inset="0,0,0,0">
                <w:txbxContent>
                  <w:p w14:paraId="37DFD962" w14:textId="77777777" w:rsidR="009C4C65" w:rsidRDefault="009C4C65">
                    <w:pPr>
                      <w:spacing w:before="12"/>
                      <w:ind w:left="20"/>
                      <w:rPr>
                        <w:sz w:val="16"/>
                      </w:rPr>
                    </w:pPr>
                    <w:r>
                      <w:rPr>
                        <w:color w:val="FFFFFF"/>
                        <w:sz w:val="18"/>
                      </w:rPr>
                      <w:t>International</w:t>
                    </w:r>
                    <w:r>
                      <w:rPr>
                        <w:color w:val="FFFFFF"/>
                        <w:spacing w:val="-4"/>
                        <w:sz w:val="18"/>
                      </w:rPr>
                      <w:t xml:space="preserve"> </w:t>
                    </w:r>
                    <w:r>
                      <w:rPr>
                        <w:color w:val="FFFFFF"/>
                        <w:sz w:val="18"/>
                      </w:rPr>
                      <w:t>Review</w:t>
                    </w:r>
                    <w:r>
                      <w:rPr>
                        <w:color w:val="FFFFFF"/>
                        <w:spacing w:val="-3"/>
                        <w:sz w:val="18"/>
                      </w:rPr>
                      <w:t xml:space="preserve"> </w:t>
                    </w:r>
                    <w:r>
                      <w:rPr>
                        <w:color w:val="FFFFFF"/>
                        <w:sz w:val="18"/>
                      </w:rPr>
                      <w:t>of</w:t>
                    </w:r>
                    <w:r>
                      <w:rPr>
                        <w:color w:val="FFFFFF"/>
                        <w:spacing w:val="-4"/>
                        <w:sz w:val="18"/>
                      </w:rPr>
                      <w:t xml:space="preserve"> </w:t>
                    </w:r>
                    <w:r>
                      <w:rPr>
                        <w:color w:val="FFFFFF"/>
                        <w:sz w:val="18"/>
                      </w:rPr>
                      <w:t>Management</w:t>
                    </w:r>
                    <w:r>
                      <w:rPr>
                        <w:color w:val="FFFFFF"/>
                        <w:spacing w:val="-4"/>
                        <w:sz w:val="18"/>
                      </w:rPr>
                      <w:t xml:space="preserve"> </w:t>
                    </w:r>
                    <w:r>
                      <w:rPr>
                        <w:color w:val="FFFFFF"/>
                        <w:sz w:val="18"/>
                      </w:rPr>
                      <w:t>and</w:t>
                    </w:r>
                    <w:r>
                      <w:rPr>
                        <w:color w:val="FFFFFF"/>
                        <w:spacing w:val="-3"/>
                        <w:sz w:val="18"/>
                      </w:rPr>
                      <w:t xml:space="preserve"> </w:t>
                    </w:r>
                    <w:r>
                      <w:rPr>
                        <w:color w:val="FFFFFF"/>
                        <w:sz w:val="18"/>
                      </w:rPr>
                      <w:t>Marketing</w:t>
                    </w:r>
                    <w:r>
                      <w:rPr>
                        <w:color w:val="FFFFFF"/>
                        <w:spacing w:val="-4"/>
                        <w:sz w:val="18"/>
                      </w:rPr>
                      <w:t xml:space="preserve"> </w:t>
                    </w:r>
                    <w:r>
                      <w:rPr>
                        <w:color w:val="FFFFFF"/>
                        <w:sz w:val="18"/>
                      </w:rPr>
                      <w:t>|</w:t>
                    </w:r>
                    <w:r>
                      <w:rPr>
                        <w:color w:val="FFFFFF"/>
                        <w:spacing w:val="-4"/>
                        <w:sz w:val="18"/>
                      </w:rPr>
                      <w:t xml:space="preserve"> </w:t>
                    </w:r>
                    <w:r>
                      <w:rPr>
                        <w:color w:val="FFFFFF"/>
                        <w:sz w:val="16"/>
                      </w:rPr>
                      <w:t>Vol</w:t>
                    </w:r>
                    <w:r>
                      <w:rPr>
                        <w:color w:val="FFFFFF"/>
                        <w:spacing w:val="-3"/>
                        <w:sz w:val="16"/>
                      </w:rPr>
                      <w:t xml:space="preserve"> </w:t>
                    </w:r>
                    <w:r>
                      <w:rPr>
                        <w:color w:val="FFFFFF"/>
                        <w:sz w:val="16"/>
                      </w:rPr>
                      <w:t>11</w:t>
                    </w:r>
                    <w:r>
                      <w:rPr>
                        <w:color w:val="FFFFFF"/>
                        <w:spacing w:val="-3"/>
                        <w:sz w:val="16"/>
                      </w:rPr>
                      <w:t xml:space="preserve"> </w:t>
                    </w:r>
                    <w:r>
                      <w:rPr>
                        <w:color w:val="FFFFFF"/>
                        <w:sz w:val="16"/>
                      </w:rPr>
                      <w:t>•</w:t>
                    </w:r>
                    <w:r>
                      <w:rPr>
                        <w:color w:val="FFFFFF"/>
                        <w:spacing w:val="-4"/>
                        <w:sz w:val="16"/>
                      </w:rPr>
                      <w:t xml:space="preserve"> </w:t>
                    </w:r>
                    <w:r>
                      <w:rPr>
                        <w:color w:val="FFFFFF"/>
                        <w:sz w:val="16"/>
                      </w:rPr>
                      <w:t>Issue</w:t>
                    </w:r>
                    <w:r>
                      <w:rPr>
                        <w:color w:val="FFFFFF"/>
                        <w:spacing w:val="-3"/>
                        <w:sz w:val="16"/>
                      </w:rPr>
                      <w:t xml:space="preserve"> </w:t>
                    </w:r>
                    <w:r>
                      <w:rPr>
                        <w:color w:val="FFFFFF"/>
                        <w:sz w:val="16"/>
                      </w:rPr>
                      <w:t>3</w:t>
                    </w:r>
                    <w:r>
                      <w:rPr>
                        <w:color w:val="FFFFFF"/>
                        <w:spacing w:val="-3"/>
                        <w:sz w:val="16"/>
                      </w:rPr>
                      <w:t xml:space="preserve"> </w:t>
                    </w:r>
                    <w:r>
                      <w:rPr>
                        <w:color w:val="FFFFFF"/>
                        <w:sz w:val="16"/>
                      </w:rPr>
                      <w:t>•</w:t>
                    </w:r>
                    <w:r>
                      <w:rPr>
                        <w:color w:val="FFFFFF"/>
                        <w:spacing w:val="-3"/>
                        <w:sz w:val="16"/>
                      </w:rPr>
                      <w:t xml:space="preserve"> </w:t>
                    </w:r>
                    <w:r>
                      <w:rPr>
                        <w:color w:val="FFFFFF"/>
                        <w:sz w:val="16"/>
                      </w:rPr>
                      <w:t>2021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36"/>
      <w:gridCol w:w="544"/>
    </w:tblGrid>
    <w:tr w:rsidR="009C4C65" w14:paraId="4544D367" w14:textId="77777777">
      <w:trPr>
        <w:jc w:val="right"/>
      </w:trPr>
      <w:tc>
        <w:tcPr>
          <w:tcW w:w="4795" w:type="dxa"/>
          <w:vAlign w:val="center"/>
        </w:tcPr>
        <w:p w14:paraId="7ABE0022" w14:textId="2DF11041" w:rsidR="009C4C65" w:rsidRDefault="009C4C65">
          <w:pPr>
            <w:pStyle w:val="Header"/>
            <w:jc w:val="right"/>
            <w:rPr>
              <w:caps/>
              <w:color w:val="000000" w:themeColor="text1"/>
            </w:rPr>
          </w:pPr>
          <w:r w:rsidRPr="00F04652">
            <w:rPr>
              <w:b/>
              <w:color w:val="000000" w:themeColor="text1"/>
              <w:spacing w:val="-1"/>
              <w:sz w:val="18"/>
            </w:rPr>
            <w:t>Journal of Economics and Business Letters</w:t>
          </w:r>
          <w:r w:rsidRPr="00C326F5">
            <w:rPr>
              <w:b/>
              <w:color w:val="231F20"/>
              <w:spacing w:val="-1"/>
              <w:sz w:val="18"/>
            </w:rPr>
            <w:t>, 2021, 1(1), 1-12</w:t>
          </w:r>
        </w:p>
      </w:tc>
      <w:tc>
        <w:tcPr>
          <w:tcW w:w="250" w:type="pct"/>
          <w:shd w:val="clear" w:color="auto" w:fill="C0504D" w:themeFill="accent2"/>
          <w:vAlign w:val="center"/>
        </w:tcPr>
        <w:p w14:paraId="6618175A" w14:textId="3486104B" w:rsidR="009C4C65" w:rsidRDefault="009C4C6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9F64D7">
            <w:rPr>
              <w:noProof/>
              <w:color w:val="FFFFFF" w:themeColor="background1"/>
            </w:rPr>
            <w:t>6</w:t>
          </w:r>
          <w:r>
            <w:rPr>
              <w:noProof/>
              <w:color w:val="FFFFFF" w:themeColor="background1"/>
            </w:rPr>
            <w:fldChar w:fldCharType="end"/>
          </w:r>
        </w:p>
      </w:tc>
    </w:tr>
  </w:tbl>
  <w:p w14:paraId="0B321475" w14:textId="5D2D5DD1" w:rsidR="009C4C65" w:rsidRDefault="009C4C65">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4E21" w14:textId="77777777" w:rsidR="00F849FC" w:rsidRDefault="00F849FC">
      <w:r>
        <w:separator/>
      </w:r>
    </w:p>
  </w:footnote>
  <w:footnote w:type="continuationSeparator" w:id="0">
    <w:p w14:paraId="1AD125BD" w14:textId="77777777" w:rsidR="00F849FC" w:rsidRDefault="00F84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6FAC"/>
    <w:multiLevelType w:val="multilevel"/>
    <w:tmpl w:val="C366A6DC"/>
    <w:lvl w:ilvl="0">
      <w:start w:val="4"/>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74" w:hanging="385"/>
      </w:pPr>
      <w:rPr>
        <w:rFonts w:hint="default"/>
        <w:lang w:val="en-US" w:eastAsia="en-US" w:bidi="ar-SA"/>
      </w:rPr>
    </w:lvl>
    <w:lvl w:ilvl="3">
      <w:numFmt w:val="bullet"/>
      <w:lvlText w:val="•"/>
      <w:lvlJc w:val="left"/>
      <w:pPr>
        <w:ind w:left="1962" w:hanging="385"/>
      </w:pPr>
      <w:rPr>
        <w:rFonts w:hint="default"/>
        <w:lang w:val="en-US" w:eastAsia="en-US" w:bidi="ar-SA"/>
      </w:rPr>
    </w:lvl>
    <w:lvl w:ilvl="4">
      <w:numFmt w:val="bullet"/>
      <w:lvlText w:val="•"/>
      <w:lvlJc w:val="left"/>
      <w:pPr>
        <w:ind w:left="2449" w:hanging="385"/>
      </w:pPr>
      <w:rPr>
        <w:rFonts w:hint="default"/>
        <w:lang w:val="en-US" w:eastAsia="en-US" w:bidi="ar-SA"/>
      </w:rPr>
    </w:lvl>
    <w:lvl w:ilvl="5">
      <w:numFmt w:val="bullet"/>
      <w:lvlText w:val="•"/>
      <w:lvlJc w:val="left"/>
      <w:pPr>
        <w:ind w:left="2937" w:hanging="385"/>
      </w:pPr>
      <w:rPr>
        <w:rFonts w:hint="default"/>
        <w:lang w:val="en-US" w:eastAsia="en-US" w:bidi="ar-SA"/>
      </w:rPr>
    </w:lvl>
    <w:lvl w:ilvl="6">
      <w:numFmt w:val="bullet"/>
      <w:lvlText w:val="•"/>
      <w:lvlJc w:val="left"/>
      <w:pPr>
        <w:ind w:left="3424" w:hanging="385"/>
      </w:pPr>
      <w:rPr>
        <w:rFonts w:hint="default"/>
        <w:lang w:val="en-US" w:eastAsia="en-US" w:bidi="ar-SA"/>
      </w:rPr>
    </w:lvl>
    <w:lvl w:ilvl="7">
      <w:numFmt w:val="bullet"/>
      <w:lvlText w:val="•"/>
      <w:lvlJc w:val="left"/>
      <w:pPr>
        <w:ind w:left="3911" w:hanging="385"/>
      </w:pPr>
      <w:rPr>
        <w:rFonts w:hint="default"/>
        <w:lang w:val="en-US" w:eastAsia="en-US" w:bidi="ar-SA"/>
      </w:rPr>
    </w:lvl>
    <w:lvl w:ilvl="8">
      <w:numFmt w:val="bullet"/>
      <w:lvlText w:val="•"/>
      <w:lvlJc w:val="left"/>
      <w:pPr>
        <w:ind w:left="4399" w:hanging="385"/>
      </w:pPr>
      <w:rPr>
        <w:rFonts w:hint="default"/>
        <w:lang w:val="en-US" w:eastAsia="en-US" w:bidi="ar-SA"/>
      </w:rPr>
    </w:lvl>
  </w:abstractNum>
  <w:abstractNum w:abstractNumId="1" w15:restartNumberingAfterBreak="0">
    <w:nsid w:val="1FAE1BB0"/>
    <w:multiLevelType w:val="hybridMultilevel"/>
    <w:tmpl w:val="DA72C9A6"/>
    <w:lvl w:ilvl="0" w:tplc="04090019">
      <w:start w:val="1"/>
      <w:numFmt w:val="lowerLetter"/>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 w15:restartNumberingAfterBreak="0">
    <w:nsid w:val="258236F7"/>
    <w:multiLevelType w:val="multilevel"/>
    <w:tmpl w:val="A9E2B06C"/>
    <w:lvl w:ilvl="0">
      <w:start w:val="3"/>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74" w:hanging="385"/>
      </w:pPr>
      <w:rPr>
        <w:rFonts w:hint="default"/>
        <w:lang w:val="en-US" w:eastAsia="en-US" w:bidi="ar-SA"/>
      </w:rPr>
    </w:lvl>
    <w:lvl w:ilvl="3">
      <w:numFmt w:val="bullet"/>
      <w:lvlText w:val="•"/>
      <w:lvlJc w:val="left"/>
      <w:pPr>
        <w:ind w:left="1962" w:hanging="385"/>
      </w:pPr>
      <w:rPr>
        <w:rFonts w:hint="default"/>
        <w:lang w:val="en-US" w:eastAsia="en-US" w:bidi="ar-SA"/>
      </w:rPr>
    </w:lvl>
    <w:lvl w:ilvl="4">
      <w:numFmt w:val="bullet"/>
      <w:lvlText w:val="•"/>
      <w:lvlJc w:val="left"/>
      <w:pPr>
        <w:ind w:left="2449" w:hanging="385"/>
      </w:pPr>
      <w:rPr>
        <w:rFonts w:hint="default"/>
        <w:lang w:val="en-US" w:eastAsia="en-US" w:bidi="ar-SA"/>
      </w:rPr>
    </w:lvl>
    <w:lvl w:ilvl="5">
      <w:numFmt w:val="bullet"/>
      <w:lvlText w:val="•"/>
      <w:lvlJc w:val="left"/>
      <w:pPr>
        <w:ind w:left="2937" w:hanging="385"/>
      </w:pPr>
      <w:rPr>
        <w:rFonts w:hint="default"/>
        <w:lang w:val="en-US" w:eastAsia="en-US" w:bidi="ar-SA"/>
      </w:rPr>
    </w:lvl>
    <w:lvl w:ilvl="6">
      <w:numFmt w:val="bullet"/>
      <w:lvlText w:val="•"/>
      <w:lvlJc w:val="left"/>
      <w:pPr>
        <w:ind w:left="3424" w:hanging="385"/>
      </w:pPr>
      <w:rPr>
        <w:rFonts w:hint="default"/>
        <w:lang w:val="en-US" w:eastAsia="en-US" w:bidi="ar-SA"/>
      </w:rPr>
    </w:lvl>
    <w:lvl w:ilvl="7">
      <w:numFmt w:val="bullet"/>
      <w:lvlText w:val="•"/>
      <w:lvlJc w:val="left"/>
      <w:pPr>
        <w:ind w:left="3911" w:hanging="385"/>
      </w:pPr>
      <w:rPr>
        <w:rFonts w:hint="default"/>
        <w:lang w:val="en-US" w:eastAsia="en-US" w:bidi="ar-SA"/>
      </w:rPr>
    </w:lvl>
    <w:lvl w:ilvl="8">
      <w:numFmt w:val="bullet"/>
      <w:lvlText w:val="•"/>
      <w:lvlJc w:val="left"/>
      <w:pPr>
        <w:ind w:left="4399" w:hanging="385"/>
      </w:pPr>
      <w:rPr>
        <w:rFonts w:hint="default"/>
        <w:lang w:val="en-US" w:eastAsia="en-US" w:bidi="ar-SA"/>
      </w:rPr>
    </w:lvl>
  </w:abstractNum>
  <w:abstractNum w:abstractNumId="3" w15:restartNumberingAfterBreak="0">
    <w:nsid w:val="27FF1783"/>
    <w:multiLevelType w:val="multilevel"/>
    <w:tmpl w:val="67AE110A"/>
    <w:lvl w:ilvl="0">
      <w:start w:val="5"/>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61" w:hanging="385"/>
      </w:pPr>
      <w:rPr>
        <w:rFonts w:hint="default"/>
        <w:lang w:val="en-US" w:eastAsia="en-US" w:bidi="ar-SA"/>
      </w:rPr>
    </w:lvl>
    <w:lvl w:ilvl="3">
      <w:numFmt w:val="bullet"/>
      <w:lvlText w:val="•"/>
      <w:lvlJc w:val="left"/>
      <w:pPr>
        <w:ind w:left="1941" w:hanging="385"/>
      </w:pPr>
      <w:rPr>
        <w:rFonts w:hint="default"/>
        <w:lang w:val="en-US" w:eastAsia="en-US" w:bidi="ar-SA"/>
      </w:rPr>
    </w:lvl>
    <w:lvl w:ilvl="4">
      <w:numFmt w:val="bullet"/>
      <w:lvlText w:val="•"/>
      <w:lvlJc w:val="left"/>
      <w:pPr>
        <w:ind w:left="2422" w:hanging="385"/>
      </w:pPr>
      <w:rPr>
        <w:rFonts w:hint="default"/>
        <w:lang w:val="en-US" w:eastAsia="en-US" w:bidi="ar-SA"/>
      </w:rPr>
    </w:lvl>
    <w:lvl w:ilvl="5">
      <w:numFmt w:val="bullet"/>
      <w:lvlText w:val="•"/>
      <w:lvlJc w:val="left"/>
      <w:pPr>
        <w:ind w:left="2903" w:hanging="385"/>
      </w:pPr>
      <w:rPr>
        <w:rFonts w:hint="default"/>
        <w:lang w:val="en-US" w:eastAsia="en-US" w:bidi="ar-SA"/>
      </w:rPr>
    </w:lvl>
    <w:lvl w:ilvl="6">
      <w:numFmt w:val="bullet"/>
      <w:lvlText w:val="•"/>
      <w:lvlJc w:val="left"/>
      <w:pPr>
        <w:ind w:left="3383" w:hanging="385"/>
      </w:pPr>
      <w:rPr>
        <w:rFonts w:hint="default"/>
        <w:lang w:val="en-US" w:eastAsia="en-US" w:bidi="ar-SA"/>
      </w:rPr>
    </w:lvl>
    <w:lvl w:ilvl="7">
      <w:numFmt w:val="bullet"/>
      <w:lvlText w:val="•"/>
      <w:lvlJc w:val="left"/>
      <w:pPr>
        <w:ind w:left="3864" w:hanging="385"/>
      </w:pPr>
      <w:rPr>
        <w:rFonts w:hint="default"/>
        <w:lang w:val="en-US" w:eastAsia="en-US" w:bidi="ar-SA"/>
      </w:rPr>
    </w:lvl>
    <w:lvl w:ilvl="8">
      <w:numFmt w:val="bullet"/>
      <w:lvlText w:val="•"/>
      <w:lvlJc w:val="left"/>
      <w:pPr>
        <w:ind w:left="4345" w:hanging="385"/>
      </w:pPr>
      <w:rPr>
        <w:rFonts w:hint="default"/>
        <w:lang w:val="en-US" w:eastAsia="en-US" w:bidi="ar-SA"/>
      </w:rPr>
    </w:lvl>
  </w:abstractNum>
  <w:abstractNum w:abstractNumId="4" w15:restartNumberingAfterBreak="0">
    <w:nsid w:val="2A8A2192"/>
    <w:multiLevelType w:val="hybridMultilevel"/>
    <w:tmpl w:val="1B9EFB70"/>
    <w:lvl w:ilvl="0" w:tplc="970E7EC4">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0C686884">
      <w:numFmt w:val="bullet"/>
      <w:lvlText w:val="•"/>
      <w:lvlJc w:val="left"/>
      <w:pPr>
        <w:ind w:left="2150" w:hanging="245"/>
      </w:pPr>
      <w:rPr>
        <w:rFonts w:hint="default"/>
        <w:lang w:val="en-US" w:eastAsia="en-US" w:bidi="ar-SA"/>
      </w:rPr>
    </w:lvl>
    <w:lvl w:ilvl="2" w:tplc="1B96C86C">
      <w:numFmt w:val="bullet"/>
      <w:lvlText w:val="•"/>
      <w:lvlJc w:val="left"/>
      <w:pPr>
        <w:ind w:left="2501" w:hanging="245"/>
      </w:pPr>
      <w:rPr>
        <w:rFonts w:hint="default"/>
        <w:lang w:val="en-US" w:eastAsia="en-US" w:bidi="ar-SA"/>
      </w:rPr>
    </w:lvl>
    <w:lvl w:ilvl="3" w:tplc="798A43B4">
      <w:numFmt w:val="bullet"/>
      <w:lvlText w:val="•"/>
      <w:lvlJc w:val="left"/>
      <w:pPr>
        <w:ind w:left="2852" w:hanging="245"/>
      </w:pPr>
      <w:rPr>
        <w:rFonts w:hint="default"/>
        <w:lang w:val="en-US" w:eastAsia="en-US" w:bidi="ar-SA"/>
      </w:rPr>
    </w:lvl>
    <w:lvl w:ilvl="4" w:tplc="D2D610E8">
      <w:numFmt w:val="bullet"/>
      <w:lvlText w:val="•"/>
      <w:lvlJc w:val="left"/>
      <w:pPr>
        <w:ind w:left="3203" w:hanging="245"/>
      </w:pPr>
      <w:rPr>
        <w:rFonts w:hint="default"/>
        <w:lang w:val="en-US" w:eastAsia="en-US" w:bidi="ar-SA"/>
      </w:rPr>
    </w:lvl>
    <w:lvl w:ilvl="5" w:tplc="D062D6BE">
      <w:numFmt w:val="bullet"/>
      <w:lvlText w:val="•"/>
      <w:lvlJc w:val="left"/>
      <w:pPr>
        <w:ind w:left="3554" w:hanging="245"/>
      </w:pPr>
      <w:rPr>
        <w:rFonts w:hint="default"/>
        <w:lang w:val="en-US" w:eastAsia="en-US" w:bidi="ar-SA"/>
      </w:rPr>
    </w:lvl>
    <w:lvl w:ilvl="6" w:tplc="D5DE655A">
      <w:numFmt w:val="bullet"/>
      <w:lvlText w:val="•"/>
      <w:lvlJc w:val="left"/>
      <w:pPr>
        <w:ind w:left="3904" w:hanging="245"/>
      </w:pPr>
      <w:rPr>
        <w:rFonts w:hint="default"/>
        <w:lang w:val="en-US" w:eastAsia="en-US" w:bidi="ar-SA"/>
      </w:rPr>
    </w:lvl>
    <w:lvl w:ilvl="7" w:tplc="CB3E9284">
      <w:numFmt w:val="bullet"/>
      <w:lvlText w:val="•"/>
      <w:lvlJc w:val="left"/>
      <w:pPr>
        <w:ind w:left="4255" w:hanging="245"/>
      </w:pPr>
      <w:rPr>
        <w:rFonts w:hint="default"/>
        <w:lang w:val="en-US" w:eastAsia="en-US" w:bidi="ar-SA"/>
      </w:rPr>
    </w:lvl>
    <w:lvl w:ilvl="8" w:tplc="5BFE91EC">
      <w:numFmt w:val="bullet"/>
      <w:lvlText w:val="•"/>
      <w:lvlJc w:val="left"/>
      <w:pPr>
        <w:ind w:left="4606" w:hanging="245"/>
      </w:pPr>
      <w:rPr>
        <w:rFonts w:hint="default"/>
        <w:lang w:val="en-US" w:eastAsia="en-US" w:bidi="ar-SA"/>
      </w:rPr>
    </w:lvl>
  </w:abstractNum>
  <w:abstractNum w:abstractNumId="5" w15:restartNumberingAfterBreak="0">
    <w:nsid w:val="379518DC"/>
    <w:multiLevelType w:val="multilevel"/>
    <w:tmpl w:val="12021A1C"/>
    <w:lvl w:ilvl="0">
      <w:start w:val="2"/>
      <w:numFmt w:val="decimal"/>
      <w:lvlText w:val="%1"/>
      <w:lvlJc w:val="left"/>
      <w:pPr>
        <w:ind w:left="114" w:hanging="385"/>
      </w:pPr>
      <w:rPr>
        <w:rFonts w:hint="default"/>
        <w:lang w:val="en-US" w:eastAsia="en-US" w:bidi="ar-SA"/>
      </w:rPr>
    </w:lvl>
    <w:lvl w:ilvl="1">
      <w:start w:val="1"/>
      <w:numFmt w:val="decimal"/>
      <w:lvlText w:val="%1.%2."/>
      <w:lvlJc w:val="left"/>
      <w:pPr>
        <w:ind w:left="114"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170" w:hanging="385"/>
      </w:pPr>
      <w:rPr>
        <w:rFonts w:hint="default"/>
        <w:lang w:val="en-US" w:eastAsia="en-US" w:bidi="ar-SA"/>
      </w:rPr>
    </w:lvl>
    <w:lvl w:ilvl="3">
      <w:numFmt w:val="bullet"/>
      <w:lvlText w:val="•"/>
      <w:lvlJc w:val="left"/>
      <w:pPr>
        <w:ind w:left="1696" w:hanging="385"/>
      </w:pPr>
      <w:rPr>
        <w:rFonts w:hint="default"/>
        <w:lang w:val="en-US" w:eastAsia="en-US" w:bidi="ar-SA"/>
      </w:rPr>
    </w:lvl>
    <w:lvl w:ilvl="4">
      <w:numFmt w:val="bullet"/>
      <w:lvlText w:val="•"/>
      <w:lvlJc w:val="left"/>
      <w:pPr>
        <w:ind w:left="2221" w:hanging="385"/>
      </w:pPr>
      <w:rPr>
        <w:rFonts w:hint="default"/>
        <w:lang w:val="en-US" w:eastAsia="en-US" w:bidi="ar-SA"/>
      </w:rPr>
    </w:lvl>
    <w:lvl w:ilvl="5">
      <w:numFmt w:val="bullet"/>
      <w:lvlText w:val="•"/>
      <w:lvlJc w:val="left"/>
      <w:pPr>
        <w:ind w:left="2747" w:hanging="385"/>
      </w:pPr>
      <w:rPr>
        <w:rFonts w:hint="default"/>
        <w:lang w:val="en-US" w:eastAsia="en-US" w:bidi="ar-SA"/>
      </w:rPr>
    </w:lvl>
    <w:lvl w:ilvl="6">
      <w:numFmt w:val="bullet"/>
      <w:lvlText w:val="•"/>
      <w:lvlJc w:val="left"/>
      <w:pPr>
        <w:ind w:left="3272" w:hanging="385"/>
      </w:pPr>
      <w:rPr>
        <w:rFonts w:hint="default"/>
        <w:lang w:val="en-US" w:eastAsia="en-US" w:bidi="ar-SA"/>
      </w:rPr>
    </w:lvl>
    <w:lvl w:ilvl="7">
      <w:numFmt w:val="bullet"/>
      <w:lvlText w:val="•"/>
      <w:lvlJc w:val="left"/>
      <w:pPr>
        <w:ind w:left="3797" w:hanging="385"/>
      </w:pPr>
      <w:rPr>
        <w:rFonts w:hint="default"/>
        <w:lang w:val="en-US" w:eastAsia="en-US" w:bidi="ar-SA"/>
      </w:rPr>
    </w:lvl>
    <w:lvl w:ilvl="8">
      <w:numFmt w:val="bullet"/>
      <w:lvlText w:val="•"/>
      <w:lvlJc w:val="left"/>
      <w:pPr>
        <w:ind w:left="4323" w:hanging="385"/>
      </w:pPr>
      <w:rPr>
        <w:rFonts w:hint="default"/>
        <w:lang w:val="en-US" w:eastAsia="en-US" w:bidi="ar-SA"/>
      </w:rPr>
    </w:lvl>
  </w:abstractNum>
  <w:abstractNum w:abstractNumId="6" w15:restartNumberingAfterBreak="0">
    <w:nsid w:val="3A2265B8"/>
    <w:multiLevelType w:val="hybridMultilevel"/>
    <w:tmpl w:val="1EEA3822"/>
    <w:lvl w:ilvl="0" w:tplc="E3223804">
      <w:start w:val="1"/>
      <w:numFmt w:val="lowerLetter"/>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72BC303A">
      <w:numFmt w:val="bullet"/>
      <w:lvlText w:val="•"/>
      <w:lvlJc w:val="left"/>
      <w:pPr>
        <w:ind w:left="951" w:hanging="340"/>
      </w:pPr>
      <w:rPr>
        <w:rFonts w:hint="default"/>
        <w:lang w:val="en-US" w:eastAsia="en-US" w:bidi="ar-SA"/>
      </w:rPr>
    </w:lvl>
    <w:lvl w:ilvl="2" w:tplc="864A40C6">
      <w:numFmt w:val="bullet"/>
      <w:lvlText w:val="•"/>
      <w:lvlJc w:val="left"/>
      <w:pPr>
        <w:ind w:left="1442" w:hanging="340"/>
      </w:pPr>
      <w:rPr>
        <w:rFonts w:hint="default"/>
        <w:lang w:val="en-US" w:eastAsia="en-US" w:bidi="ar-SA"/>
      </w:rPr>
    </w:lvl>
    <w:lvl w:ilvl="3" w:tplc="6090E518">
      <w:numFmt w:val="bullet"/>
      <w:lvlText w:val="•"/>
      <w:lvlJc w:val="left"/>
      <w:pPr>
        <w:ind w:left="1934" w:hanging="340"/>
      </w:pPr>
      <w:rPr>
        <w:rFonts w:hint="default"/>
        <w:lang w:val="en-US" w:eastAsia="en-US" w:bidi="ar-SA"/>
      </w:rPr>
    </w:lvl>
    <w:lvl w:ilvl="4" w:tplc="6D3C0C3E">
      <w:numFmt w:val="bullet"/>
      <w:lvlText w:val="•"/>
      <w:lvlJc w:val="left"/>
      <w:pPr>
        <w:ind w:left="2425" w:hanging="340"/>
      </w:pPr>
      <w:rPr>
        <w:rFonts w:hint="default"/>
        <w:lang w:val="en-US" w:eastAsia="en-US" w:bidi="ar-SA"/>
      </w:rPr>
    </w:lvl>
    <w:lvl w:ilvl="5" w:tplc="F94A4FC0">
      <w:numFmt w:val="bullet"/>
      <w:lvlText w:val="•"/>
      <w:lvlJc w:val="left"/>
      <w:pPr>
        <w:ind w:left="2917" w:hanging="340"/>
      </w:pPr>
      <w:rPr>
        <w:rFonts w:hint="default"/>
        <w:lang w:val="en-US" w:eastAsia="en-US" w:bidi="ar-SA"/>
      </w:rPr>
    </w:lvl>
    <w:lvl w:ilvl="6" w:tplc="DE8EA0A6">
      <w:numFmt w:val="bullet"/>
      <w:lvlText w:val="•"/>
      <w:lvlJc w:val="left"/>
      <w:pPr>
        <w:ind w:left="3408" w:hanging="340"/>
      </w:pPr>
      <w:rPr>
        <w:rFonts w:hint="default"/>
        <w:lang w:val="en-US" w:eastAsia="en-US" w:bidi="ar-SA"/>
      </w:rPr>
    </w:lvl>
    <w:lvl w:ilvl="7" w:tplc="9FD65D0E">
      <w:numFmt w:val="bullet"/>
      <w:lvlText w:val="•"/>
      <w:lvlJc w:val="left"/>
      <w:pPr>
        <w:ind w:left="3899" w:hanging="340"/>
      </w:pPr>
      <w:rPr>
        <w:rFonts w:hint="default"/>
        <w:lang w:val="en-US" w:eastAsia="en-US" w:bidi="ar-SA"/>
      </w:rPr>
    </w:lvl>
    <w:lvl w:ilvl="8" w:tplc="3B3846E6">
      <w:numFmt w:val="bullet"/>
      <w:lvlText w:val="•"/>
      <w:lvlJc w:val="left"/>
      <w:pPr>
        <w:ind w:left="4391" w:hanging="340"/>
      </w:pPr>
      <w:rPr>
        <w:rFonts w:hint="default"/>
        <w:lang w:val="en-US" w:eastAsia="en-US" w:bidi="ar-SA"/>
      </w:rPr>
    </w:lvl>
  </w:abstractNum>
  <w:abstractNum w:abstractNumId="7" w15:restartNumberingAfterBreak="0">
    <w:nsid w:val="52A00F92"/>
    <w:multiLevelType w:val="hybridMultilevel"/>
    <w:tmpl w:val="BD40F228"/>
    <w:lvl w:ilvl="0" w:tplc="6512DF00">
      <w:start w:val="1"/>
      <w:numFmt w:val="decimal"/>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74648360">
      <w:start w:val="5"/>
      <w:numFmt w:val="decimal"/>
      <w:lvlText w:val="%2."/>
      <w:lvlJc w:val="left"/>
      <w:pPr>
        <w:ind w:left="761"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2" w:tplc="8F38E21C">
      <w:numFmt w:val="bullet"/>
      <w:lvlText w:val="•"/>
      <w:lvlJc w:val="left"/>
      <w:pPr>
        <w:ind w:left="1265" w:hanging="245"/>
      </w:pPr>
      <w:rPr>
        <w:rFonts w:hint="default"/>
        <w:lang w:val="en-US" w:eastAsia="en-US" w:bidi="ar-SA"/>
      </w:rPr>
    </w:lvl>
    <w:lvl w:ilvl="3" w:tplc="E6D86E74">
      <w:numFmt w:val="bullet"/>
      <w:lvlText w:val="•"/>
      <w:lvlJc w:val="left"/>
      <w:pPr>
        <w:ind w:left="1770" w:hanging="245"/>
      </w:pPr>
      <w:rPr>
        <w:rFonts w:hint="default"/>
        <w:lang w:val="en-US" w:eastAsia="en-US" w:bidi="ar-SA"/>
      </w:rPr>
    </w:lvl>
    <w:lvl w:ilvl="4" w:tplc="DE421DB8">
      <w:numFmt w:val="bullet"/>
      <w:lvlText w:val="•"/>
      <w:lvlJc w:val="left"/>
      <w:pPr>
        <w:ind w:left="2276" w:hanging="245"/>
      </w:pPr>
      <w:rPr>
        <w:rFonts w:hint="default"/>
        <w:lang w:val="en-US" w:eastAsia="en-US" w:bidi="ar-SA"/>
      </w:rPr>
    </w:lvl>
    <w:lvl w:ilvl="5" w:tplc="6DBC61B0">
      <w:numFmt w:val="bullet"/>
      <w:lvlText w:val="•"/>
      <w:lvlJc w:val="left"/>
      <w:pPr>
        <w:ind w:left="2781" w:hanging="245"/>
      </w:pPr>
      <w:rPr>
        <w:rFonts w:hint="default"/>
        <w:lang w:val="en-US" w:eastAsia="en-US" w:bidi="ar-SA"/>
      </w:rPr>
    </w:lvl>
    <w:lvl w:ilvl="6" w:tplc="1BA6F0BC">
      <w:numFmt w:val="bullet"/>
      <w:lvlText w:val="•"/>
      <w:lvlJc w:val="left"/>
      <w:pPr>
        <w:ind w:left="3287" w:hanging="245"/>
      </w:pPr>
      <w:rPr>
        <w:rFonts w:hint="default"/>
        <w:lang w:val="en-US" w:eastAsia="en-US" w:bidi="ar-SA"/>
      </w:rPr>
    </w:lvl>
    <w:lvl w:ilvl="7" w:tplc="1564EE1C">
      <w:numFmt w:val="bullet"/>
      <w:lvlText w:val="•"/>
      <w:lvlJc w:val="left"/>
      <w:pPr>
        <w:ind w:left="3792" w:hanging="245"/>
      </w:pPr>
      <w:rPr>
        <w:rFonts w:hint="default"/>
        <w:lang w:val="en-US" w:eastAsia="en-US" w:bidi="ar-SA"/>
      </w:rPr>
    </w:lvl>
    <w:lvl w:ilvl="8" w:tplc="647A37AC">
      <w:numFmt w:val="bullet"/>
      <w:lvlText w:val="•"/>
      <w:lvlJc w:val="left"/>
      <w:pPr>
        <w:ind w:left="4298" w:hanging="245"/>
      </w:pPr>
      <w:rPr>
        <w:rFonts w:hint="default"/>
        <w:lang w:val="en-US" w:eastAsia="en-US" w:bidi="ar-SA"/>
      </w:rPr>
    </w:lvl>
  </w:abstractNum>
  <w:abstractNum w:abstractNumId="8" w15:restartNumberingAfterBreak="0">
    <w:nsid w:val="554B5A3E"/>
    <w:multiLevelType w:val="hybridMultilevel"/>
    <w:tmpl w:val="65D412C8"/>
    <w:lvl w:ilvl="0" w:tplc="04090019">
      <w:start w:val="1"/>
      <w:numFmt w:val="lowerLetter"/>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9" w15:restartNumberingAfterBreak="0">
    <w:nsid w:val="634518E7"/>
    <w:multiLevelType w:val="multilevel"/>
    <w:tmpl w:val="198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72742"/>
    <w:multiLevelType w:val="hybridMultilevel"/>
    <w:tmpl w:val="900C9194"/>
    <w:lvl w:ilvl="0" w:tplc="04090019">
      <w:start w:val="1"/>
      <w:numFmt w:val="lowerLetter"/>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1" w15:restartNumberingAfterBreak="0">
    <w:nsid w:val="7ACE101B"/>
    <w:multiLevelType w:val="hybridMultilevel"/>
    <w:tmpl w:val="320EAC76"/>
    <w:lvl w:ilvl="0" w:tplc="9502E5CA">
      <w:start w:val="1"/>
      <w:numFmt w:val="lowerLetter"/>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216A2B02">
      <w:numFmt w:val="bullet"/>
      <w:lvlText w:val="•"/>
      <w:lvlJc w:val="left"/>
      <w:pPr>
        <w:ind w:left="951" w:hanging="340"/>
      </w:pPr>
      <w:rPr>
        <w:rFonts w:hint="default"/>
        <w:lang w:val="en-US" w:eastAsia="en-US" w:bidi="ar-SA"/>
      </w:rPr>
    </w:lvl>
    <w:lvl w:ilvl="2" w:tplc="7ACE95BC">
      <w:numFmt w:val="bullet"/>
      <w:lvlText w:val="•"/>
      <w:lvlJc w:val="left"/>
      <w:pPr>
        <w:ind w:left="1442" w:hanging="340"/>
      </w:pPr>
      <w:rPr>
        <w:rFonts w:hint="default"/>
        <w:lang w:val="en-US" w:eastAsia="en-US" w:bidi="ar-SA"/>
      </w:rPr>
    </w:lvl>
    <w:lvl w:ilvl="3" w:tplc="E8FE1D7C">
      <w:numFmt w:val="bullet"/>
      <w:lvlText w:val="•"/>
      <w:lvlJc w:val="left"/>
      <w:pPr>
        <w:ind w:left="1934" w:hanging="340"/>
      </w:pPr>
      <w:rPr>
        <w:rFonts w:hint="default"/>
        <w:lang w:val="en-US" w:eastAsia="en-US" w:bidi="ar-SA"/>
      </w:rPr>
    </w:lvl>
    <w:lvl w:ilvl="4" w:tplc="74C8A6E6">
      <w:numFmt w:val="bullet"/>
      <w:lvlText w:val="•"/>
      <w:lvlJc w:val="left"/>
      <w:pPr>
        <w:ind w:left="2425" w:hanging="340"/>
      </w:pPr>
      <w:rPr>
        <w:rFonts w:hint="default"/>
        <w:lang w:val="en-US" w:eastAsia="en-US" w:bidi="ar-SA"/>
      </w:rPr>
    </w:lvl>
    <w:lvl w:ilvl="5" w:tplc="343E8AA0">
      <w:numFmt w:val="bullet"/>
      <w:lvlText w:val="•"/>
      <w:lvlJc w:val="left"/>
      <w:pPr>
        <w:ind w:left="2917" w:hanging="340"/>
      </w:pPr>
      <w:rPr>
        <w:rFonts w:hint="default"/>
        <w:lang w:val="en-US" w:eastAsia="en-US" w:bidi="ar-SA"/>
      </w:rPr>
    </w:lvl>
    <w:lvl w:ilvl="6" w:tplc="821615DA">
      <w:numFmt w:val="bullet"/>
      <w:lvlText w:val="•"/>
      <w:lvlJc w:val="left"/>
      <w:pPr>
        <w:ind w:left="3408" w:hanging="340"/>
      </w:pPr>
      <w:rPr>
        <w:rFonts w:hint="default"/>
        <w:lang w:val="en-US" w:eastAsia="en-US" w:bidi="ar-SA"/>
      </w:rPr>
    </w:lvl>
    <w:lvl w:ilvl="7" w:tplc="8D86D26A">
      <w:numFmt w:val="bullet"/>
      <w:lvlText w:val="•"/>
      <w:lvlJc w:val="left"/>
      <w:pPr>
        <w:ind w:left="3899" w:hanging="340"/>
      </w:pPr>
      <w:rPr>
        <w:rFonts w:hint="default"/>
        <w:lang w:val="en-US" w:eastAsia="en-US" w:bidi="ar-SA"/>
      </w:rPr>
    </w:lvl>
    <w:lvl w:ilvl="8" w:tplc="C94C1476">
      <w:numFmt w:val="bullet"/>
      <w:lvlText w:val="•"/>
      <w:lvlJc w:val="left"/>
      <w:pPr>
        <w:ind w:left="4391" w:hanging="340"/>
      </w:pPr>
      <w:rPr>
        <w:rFonts w:hint="default"/>
        <w:lang w:val="en-US" w:eastAsia="en-US" w:bidi="ar-SA"/>
      </w:rPr>
    </w:lvl>
  </w:abstractNum>
  <w:num w:numId="1" w16cid:durableId="109202215">
    <w:abstractNumId w:val="3"/>
  </w:num>
  <w:num w:numId="2" w16cid:durableId="966395010">
    <w:abstractNumId w:val="7"/>
  </w:num>
  <w:num w:numId="3" w16cid:durableId="100885176">
    <w:abstractNumId w:val="0"/>
  </w:num>
  <w:num w:numId="4" w16cid:durableId="1281230353">
    <w:abstractNumId w:val="11"/>
  </w:num>
  <w:num w:numId="5" w16cid:durableId="1214149203">
    <w:abstractNumId w:val="6"/>
  </w:num>
  <w:num w:numId="6" w16cid:durableId="454131609">
    <w:abstractNumId w:val="2"/>
  </w:num>
  <w:num w:numId="7" w16cid:durableId="1251934381">
    <w:abstractNumId w:val="5"/>
  </w:num>
  <w:num w:numId="8" w16cid:durableId="692729095">
    <w:abstractNumId w:val="4"/>
  </w:num>
  <w:num w:numId="9" w16cid:durableId="294482985">
    <w:abstractNumId w:val="9"/>
  </w:num>
  <w:num w:numId="10" w16cid:durableId="1695837236">
    <w:abstractNumId w:val="8"/>
  </w:num>
  <w:num w:numId="11" w16cid:durableId="1493988483">
    <w:abstractNumId w:val="1"/>
  </w:num>
  <w:num w:numId="12" w16cid:durableId="364016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57"/>
    <w:rsid w:val="0002459D"/>
    <w:rsid w:val="00026648"/>
    <w:rsid w:val="00072DB8"/>
    <w:rsid w:val="00091020"/>
    <w:rsid w:val="000A00D0"/>
    <w:rsid w:val="000E3D08"/>
    <w:rsid w:val="000E783E"/>
    <w:rsid w:val="000F52E0"/>
    <w:rsid w:val="001216C4"/>
    <w:rsid w:val="00147C84"/>
    <w:rsid w:val="00242745"/>
    <w:rsid w:val="002B6F11"/>
    <w:rsid w:val="0030537A"/>
    <w:rsid w:val="00341E70"/>
    <w:rsid w:val="00354039"/>
    <w:rsid w:val="00362BD4"/>
    <w:rsid w:val="003919E5"/>
    <w:rsid w:val="003B2785"/>
    <w:rsid w:val="003B53BC"/>
    <w:rsid w:val="003B6079"/>
    <w:rsid w:val="003E4D7D"/>
    <w:rsid w:val="00421E25"/>
    <w:rsid w:val="004423AD"/>
    <w:rsid w:val="004636A9"/>
    <w:rsid w:val="004A6E98"/>
    <w:rsid w:val="004F5F11"/>
    <w:rsid w:val="00560648"/>
    <w:rsid w:val="0057029A"/>
    <w:rsid w:val="00574209"/>
    <w:rsid w:val="00577C34"/>
    <w:rsid w:val="00584161"/>
    <w:rsid w:val="005865A1"/>
    <w:rsid w:val="00597D29"/>
    <w:rsid w:val="0064517D"/>
    <w:rsid w:val="006727B5"/>
    <w:rsid w:val="006734BF"/>
    <w:rsid w:val="006860D5"/>
    <w:rsid w:val="0069385D"/>
    <w:rsid w:val="006C414A"/>
    <w:rsid w:val="00705F1D"/>
    <w:rsid w:val="007622E7"/>
    <w:rsid w:val="00773818"/>
    <w:rsid w:val="00780415"/>
    <w:rsid w:val="00793C50"/>
    <w:rsid w:val="00802B24"/>
    <w:rsid w:val="00864E3B"/>
    <w:rsid w:val="008A25C3"/>
    <w:rsid w:val="008B4B13"/>
    <w:rsid w:val="008D0A4E"/>
    <w:rsid w:val="008E61B8"/>
    <w:rsid w:val="008F7049"/>
    <w:rsid w:val="00917079"/>
    <w:rsid w:val="009247FF"/>
    <w:rsid w:val="00944C60"/>
    <w:rsid w:val="00947C46"/>
    <w:rsid w:val="009759EE"/>
    <w:rsid w:val="00980232"/>
    <w:rsid w:val="009C4C65"/>
    <w:rsid w:val="009C4D8E"/>
    <w:rsid w:val="009F64D7"/>
    <w:rsid w:val="00A632E6"/>
    <w:rsid w:val="00AD503C"/>
    <w:rsid w:val="00AE1BE4"/>
    <w:rsid w:val="00AE30A1"/>
    <w:rsid w:val="00AE738E"/>
    <w:rsid w:val="00B017FD"/>
    <w:rsid w:val="00B61863"/>
    <w:rsid w:val="00B7702C"/>
    <w:rsid w:val="00BB4270"/>
    <w:rsid w:val="00BD57B8"/>
    <w:rsid w:val="00C326F5"/>
    <w:rsid w:val="00C873FE"/>
    <w:rsid w:val="00CA4C16"/>
    <w:rsid w:val="00CB61DE"/>
    <w:rsid w:val="00CD07B4"/>
    <w:rsid w:val="00CD0D57"/>
    <w:rsid w:val="00D232EC"/>
    <w:rsid w:val="00D254F3"/>
    <w:rsid w:val="00D35689"/>
    <w:rsid w:val="00DC49D1"/>
    <w:rsid w:val="00DF1053"/>
    <w:rsid w:val="00E22F20"/>
    <w:rsid w:val="00E60C05"/>
    <w:rsid w:val="00E62BB7"/>
    <w:rsid w:val="00E96418"/>
    <w:rsid w:val="00EA3587"/>
    <w:rsid w:val="00EE15EB"/>
    <w:rsid w:val="00F04652"/>
    <w:rsid w:val="00F07FF6"/>
    <w:rsid w:val="00F2053A"/>
    <w:rsid w:val="00F32032"/>
    <w:rsid w:val="00F42BBA"/>
    <w:rsid w:val="00F8109B"/>
    <w:rsid w:val="00F849FC"/>
    <w:rsid w:val="00FD2884"/>
    <w:rsid w:val="00FD3CA4"/>
    <w:rsid w:val="00FE68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E01E0"/>
  <w15:docId w15:val="{36A23A73-DBF3-FF4F-84BC-8071CF7F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4" w:hanging="245"/>
      <w:outlineLvl w:val="0"/>
    </w:pPr>
    <w:rPr>
      <w:b/>
      <w:bCs/>
      <w:sz w:val="24"/>
      <w:szCs w:val="24"/>
    </w:rPr>
  </w:style>
  <w:style w:type="paragraph" w:styleId="Heading2">
    <w:name w:val="heading 2"/>
    <w:basedOn w:val="Normal"/>
    <w:uiPriority w:val="9"/>
    <w:unhideWhenUsed/>
    <w:qFormat/>
    <w:pPr>
      <w:ind w:left="499" w:hanging="386"/>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4"/>
    </w:pPr>
    <w:rPr>
      <w:sz w:val="20"/>
      <w:szCs w:val="20"/>
    </w:rPr>
  </w:style>
  <w:style w:type="paragraph" w:styleId="Title">
    <w:name w:val="Title"/>
    <w:basedOn w:val="Normal"/>
    <w:uiPriority w:val="10"/>
    <w:qFormat/>
    <w:pPr>
      <w:spacing w:line="428" w:lineRule="exact"/>
      <w:ind w:left="114"/>
    </w:pPr>
    <w:rPr>
      <w:b/>
      <w:bCs/>
      <w:sz w:val="38"/>
      <w:szCs w:val="38"/>
    </w:rPr>
  </w:style>
  <w:style w:type="paragraph" w:styleId="ListParagraph">
    <w:name w:val="List Paragraph"/>
    <w:basedOn w:val="Normal"/>
    <w:uiPriority w:val="1"/>
    <w:qFormat/>
    <w:pPr>
      <w:ind w:left="454" w:hanging="3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0648"/>
    <w:pPr>
      <w:tabs>
        <w:tab w:val="center" w:pos="4680"/>
        <w:tab w:val="right" w:pos="9360"/>
      </w:tabs>
    </w:pPr>
  </w:style>
  <w:style w:type="character" w:customStyle="1" w:styleId="HeaderChar">
    <w:name w:val="Header Char"/>
    <w:basedOn w:val="DefaultParagraphFont"/>
    <w:link w:val="Header"/>
    <w:uiPriority w:val="99"/>
    <w:rsid w:val="00560648"/>
    <w:rPr>
      <w:rFonts w:ascii="Times New Roman" w:eastAsia="Times New Roman" w:hAnsi="Times New Roman" w:cs="Times New Roman"/>
    </w:rPr>
  </w:style>
  <w:style w:type="paragraph" w:styleId="Footer">
    <w:name w:val="footer"/>
    <w:basedOn w:val="Normal"/>
    <w:link w:val="FooterChar"/>
    <w:uiPriority w:val="99"/>
    <w:unhideWhenUsed/>
    <w:rsid w:val="00560648"/>
    <w:pPr>
      <w:tabs>
        <w:tab w:val="center" w:pos="4680"/>
        <w:tab w:val="right" w:pos="9360"/>
      </w:tabs>
    </w:pPr>
  </w:style>
  <w:style w:type="character" w:customStyle="1" w:styleId="FooterChar">
    <w:name w:val="Footer Char"/>
    <w:basedOn w:val="DefaultParagraphFont"/>
    <w:link w:val="Footer"/>
    <w:uiPriority w:val="99"/>
    <w:rsid w:val="0056064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C4C65"/>
    <w:rPr>
      <w:sz w:val="16"/>
      <w:szCs w:val="16"/>
    </w:rPr>
  </w:style>
  <w:style w:type="paragraph" w:styleId="CommentText">
    <w:name w:val="annotation text"/>
    <w:basedOn w:val="Normal"/>
    <w:link w:val="CommentTextChar"/>
    <w:uiPriority w:val="99"/>
    <w:semiHidden/>
    <w:unhideWhenUsed/>
    <w:rsid w:val="009C4C65"/>
    <w:rPr>
      <w:sz w:val="20"/>
      <w:szCs w:val="20"/>
    </w:rPr>
  </w:style>
  <w:style w:type="character" w:customStyle="1" w:styleId="CommentTextChar">
    <w:name w:val="Comment Text Char"/>
    <w:basedOn w:val="DefaultParagraphFont"/>
    <w:link w:val="CommentText"/>
    <w:uiPriority w:val="99"/>
    <w:semiHidden/>
    <w:rsid w:val="009C4C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C65"/>
    <w:rPr>
      <w:b/>
      <w:bCs/>
    </w:rPr>
  </w:style>
  <w:style w:type="character" w:customStyle="1" w:styleId="CommentSubjectChar">
    <w:name w:val="Comment Subject Char"/>
    <w:basedOn w:val="CommentTextChar"/>
    <w:link w:val="CommentSubject"/>
    <w:uiPriority w:val="99"/>
    <w:semiHidden/>
    <w:rsid w:val="009C4C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4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C65"/>
    <w:rPr>
      <w:rFonts w:ascii="Segoe UI" w:eastAsia="Times New Roman" w:hAnsi="Segoe UI" w:cs="Segoe UI"/>
      <w:sz w:val="18"/>
      <w:szCs w:val="18"/>
    </w:rPr>
  </w:style>
  <w:style w:type="character" w:styleId="Hyperlink">
    <w:name w:val="Hyperlink"/>
    <w:basedOn w:val="DefaultParagraphFont"/>
    <w:uiPriority w:val="99"/>
    <w:unhideWhenUsed/>
    <w:rsid w:val="00CA4C16"/>
    <w:rPr>
      <w:color w:val="0000FF"/>
      <w:u w:val="single"/>
    </w:rPr>
  </w:style>
  <w:style w:type="character" w:customStyle="1" w:styleId="anchor-text">
    <w:name w:val="anchor-text"/>
    <w:basedOn w:val="DefaultParagraphFont"/>
    <w:rsid w:val="00EA3587"/>
  </w:style>
  <w:style w:type="paragraph" w:styleId="Caption">
    <w:name w:val="caption"/>
    <w:basedOn w:val="Normal"/>
    <w:next w:val="Normal"/>
    <w:uiPriority w:val="35"/>
    <w:semiHidden/>
    <w:unhideWhenUsed/>
    <w:qFormat/>
    <w:rsid w:val="006734BF"/>
    <w:pPr>
      <w:spacing w:after="200"/>
    </w:pPr>
    <w:rPr>
      <w:i/>
      <w:iCs/>
      <w:color w:val="1F497D" w:themeColor="text2"/>
      <w:sz w:val="18"/>
      <w:szCs w:val="18"/>
    </w:rPr>
  </w:style>
  <w:style w:type="character" w:customStyle="1" w:styleId="BodyTextChar">
    <w:name w:val="Body Text Char"/>
    <w:basedOn w:val="DefaultParagraphFont"/>
    <w:link w:val="BodyText"/>
    <w:uiPriority w:val="1"/>
    <w:rsid w:val="000A00D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0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8808">
      <w:bodyDiv w:val="1"/>
      <w:marLeft w:val="0"/>
      <w:marRight w:val="0"/>
      <w:marTop w:val="0"/>
      <w:marBottom w:val="0"/>
      <w:divBdr>
        <w:top w:val="none" w:sz="0" w:space="0" w:color="auto"/>
        <w:left w:val="none" w:sz="0" w:space="0" w:color="auto"/>
        <w:bottom w:val="none" w:sz="0" w:space="0" w:color="auto"/>
        <w:right w:val="none" w:sz="0" w:space="0" w:color="auto"/>
      </w:divBdr>
    </w:div>
    <w:div w:id="378865238">
      <w:bodyDiv w:val="1"/>
      <w:marLeft w:val="0"/>
      <w:marRight w:val="0"/>
      <w:marTop w:val="0"/>
      <w:marBottom w:val="0"/>
      <w:divBdr>
        <w:top w:val="none" w:sz="0" w:space="0" w:color="auto"/>
        <w:left w:val="none" w:sz="0" w:space="0" w:color="auto"/>
        <w:bottom w:val="none" w:sz="0" w:space="0" w:color="auto"/>
        <w:right w:val="none" w:sz="0" w:space="0" w:color="auto"/>
      </w:divBdr>
    </w:div>
    <w:div w:id="1274946185">
      <w:bodyDiv w:val="1"/>
      <w:marLeft w:val="0"/>
      <w:marRight w:val="0"/>
      <w:marTop w:val="0"/>
      <w:marBottom w:val="0"/>
      <w:divBdr>
        <w:top w:val="none" w:sz="0" w:space="0" w:color="auto"/>
        <w:left w:val="none" w:sz="0" w:space="0" w:color="auto"/>
        <w:bottom w:val="none" w:sz="0" w:space="0" w:color="auto"/>
        <w:right w:val="none" w:sz="0" w:space="0" w:color="auto"/>
      </w:divBdr>
    </w:div>
    <w:div w:id="1422675976">
      <w:bodyDiv w:val="1"/>
      <w:marLeft w:val="0"/>
      <w:marRight w:val="0"/>
      <w:marTop w:val="0"/>
      <w:marBottom w:val="0"/>
      <w:divBdr>
        <w:top w:val="none" w:sz="0" w:space="0" w:color="auto"/>
        <w:left w:val="none" w:sz="0" w:space="0" w:color="auto"/>
        <w:bottom w:val="none" w:sz="0" w:space="0" w:color="auto"/>
        <w:right w:val="none" w:sz="0" w:space="0" w:color="auto"/>
      </w:divBdr>
    </w:div>
    <w:div w:id="1548952748">
      <w:bodyDiv w:val="1"/>
      <w:marLeft w:val="0"/>
      <w:marRight w:val="0"/>
      <w:marTop w:val="0"/>
      <w:marBottom w:val="0"/>
      <w:divBdr>
        <w:top w:val="none" w:sz="0" w:space="0" w:color="auto"/>
        <w:left w:val="none" w:sz="0" w:space="0" w:color="auto"/>
        <w:bottom w:val="none" w:sz="0" w:space="0" w:color="auto"/>
        <w:right w:val="none" w:sz="0" w:space="0" w:color="auto"/>
      </w:divBdr>
    </w:div>
    <w:div w:id="1971591560">
      <w:bodyDiv w:val="1"/>
      <w:marLeft w:val="0"/>
      <w:marRight w:val="0"/>
      <w:marTop w:val="0"/>
      <w:marBottom w:val="0"/>
      <w:divBdr>
        <w:top w:val="none" w:sz="0" w:space="0" w:color="auto"/>
        <w:left w:val="none" w:sz="0" w:space="0" w:color="auto"/>
        <w:bottom w:val="none" w:sz="0" w:space="0" w:color="auto"/>
        <w:right w:val="none" w:sz="0" w:space="0" w:color="auto"/>
      </w:divBdr>
    </w:div>
    <w:div w:id="1994482357">
      <w:bodyDiv w:val="1"/>
      <w:marLeft w:val="0"/>
      <w:marRight w:val="0"/>
      <w:marTop w:val="0"/>
      <w:marBottom w:val="0"/>
      <w:divBdr>
        <w:top w:val="none" w:sz="0" w:space="0" w:color="auto"/>
        <w:left w:val="none" w:sz="0" w:space="0" w:color="auto"/>
        <w:bottom w:val="none" w:sz="0" w:space="0" w:color="auto"/>
        <w:right w:val="none" w:sz="0" w:space="0" w:color="auto"/>
      </w:divBdr>
    </w:div>
    <w:div w:id="2076853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7</Pages>
  <Words>5862</Words>
  <Characters>33417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39201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AT:AT,AU:AT,AFF:AT,HIS:AT,ABSH:AT,ABS:AT,KWD:AT,RH:RH_V</dc:subject>
  <dc:creator>Journal of Economics and Business Letters, 2021, 1(1), 1-12</dc:creator>
  <cp:lastModifiedBy>Microsoft Office User</cp:lastModifiedBy>
  <cp:revision>112</cp:revision>
  <dcterms:created xsi:type="dcterms:W3CDTF">2024-04-04T14:02:00Z</dcterms:created>
  <dcterms:modified xsi:type="dcterms:W3CDTF">2024-04-07T09:47:00Z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2021-04-17T00:00:00Z</vt:filetime>
  </property>
  <property fmtid="{D5CDD505-2E9C-101B-9397-08002B2CF9AE}" pid="3" name="Creator">
    <vt:lpwstr>Adobe InDesign CS6 (Windows)</vt:lpwstr>
  </property>
  <property fmtid="{D5CDD505-2E9C-101B-9397-08002B2CF9AE}" pid="4" name="LastSaved">
    <vt:filetime>2021-06-15T00:00:00Z</vt:filetime>
  </property>
</Properties>
</file>