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548C" w14:textId="359FC76E" w:rsidR="00E034D8" w:rsidRDefault="00E034D8" w:rsidP="0054120A">
      <w:pPr>
        <w:pStyle w:val="ListParagraph"/>
        <w:ind w:left="0" w:right="107"/>
        <w:jc w:val="center"/>
        <w:rPr>
          <w:rFonts w:ascii="Garamond" w:hAnsi="Garamond"/>
          <w:b/>
          <w:sz w:val="32"/>
          <w:szCs w:val="32"/>
          <w:lang w:val="id-ID"/>
        </w:rPr>
      </w:pPr>
      <w:r>
        <w:rPr>
          <w:noProof/>
        </w:rPr>
        <w:drawing>
          <wp:anchor distT="0" distB="0" distL="114300" distR="114300" simplePos="0" relativeHeight="251660288" behindDoc="0" locked="0" layoutInCell="1" allowOverlap="1" wp14:anchorId="7171446F" wp14:editId="114AB651">
            <wp:simplePos x="0" y="0"/>
            <wp:positionH relativeFrom="column">
              <wp:posOffset>5875655</wp:posOffset>
            </wp:positionH>
            <wp:positionV relativeFrom="paragraph">
              <wp:posOffset>-735965</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p>
    <w:p w14:paraId="1E919255" w14:textId="3801BC40" w:rsidR="00E034D8" w:rsidRDefault="00E034D8" w:rsidP="0054120A">
      <w:pPr>
        <w:pStyle w:val="ListParagraph"/>
        <w:ind w:left="0" w:right="107"/>
        <w:jc w:val="center"/>
        <w:rPr>
          <w:rFonts w:ascii="Garamond" w:hAnsi="Garamond"/>
          <w:b/>
          <w:sz w:val="32"/>
          <w:szCs w:val="32"/>
          <w:lang w:val="id-ID"/>
        </w:rPr>
      </w:pPr>
    </w:p>
    <w:p w14:paraId="73926122" w14:textId="3E05C31D" w:rsidR="00DD1F92" w:rsidRPr="000A725F" w:rsidRDefault="00945022" w:rsidP="0054120A">
      <w:pPr>
        <w:pStyle w:val="ListParagraph"/>
        <w:ind w:left="0" w:right="107"/>
        <w:jc w:val="center"/>
        <w:rPr>
          <w:rFonts w:ascii="Garamond" w:hAnsi="Garamond"/>
          <w:b/>
          <w:sz w:val="32"/>
          <w:szCs w:val="32"/>
          <w:lang w:val="id-ID"/>
        </w:rPr>
      </w:pPr>
      <w:r w:rsidRPr="00945022">
        <w:rPr>
          <w:rFonts w:ascii="Garamond" w:hAnsi="Garamond"/>
          <w:b/>
          <w:sz w:val="32"/>
          <w:szCs w:val="32"/>
          <w:lang w:val="id-ID"/>
        </w:rPr>
        <w:t>Stock Market Reaction to U.S. Tariff Announcements: Evidence from ASEAN</w:t>
      </w:r>
    </w:p>
    <w:p w14:paraId="04A31159" w14:textId="576DF1E8" w:rsidR="00073BFE" w:rsidRPr="000A725F" w:rsidRDefault="00073BFE" w:rsidP="0054120A">
      <w:pPr>
        <w:pStyle w:val="ListParagraph"/>
        <w:ind w:left="0" w:right="107"/>
        <w:jc w:val="center"/>
        <w:rPr>
          <w:rFonts w:ascii="Garamond" w:hAnsi="Garamond"/>
          <w:b/>
          <w:color w:val="000000" w:themeColor="text1"/>
          <w:lang w:bidi="en-US"/>
        </w:rPr>
      </w:pPr>
    </w:p>
    <w:p w14:paraId="2C5D3949" w14:textId="45171E8D" w:rsidR="004B5EDE" w:rsidRPr="00A57B1C" w:rsidRDefault="00945022" w:rsidP="0054120A">
      <w:pPr>
        <w:pStyle w:val="ListParagraph"/>
        <w:ind w:left="0" w:right="107"/>
        <w:jc w:val="center"/>
        <w:rPr>
          <w:rFonts w:ascii="Garamond" w:hAnsi="Garamond"/>
          <w:b/>
          <w:color w:val="000000" w:themeColor="text1"/>
          <w:lang w:val="en-US"/>
        </w:rPr>
      </w:pPr>
      <w:r>
        <w:rPr>
          <w:rFonts w:ascii="Garamond" w:hAnsi="Garamond"/>
          <w:b/>
          <w:bCs/>
          <w:color w:val="000000" w:themeColor="text1"/>
        </w:rPr>
        <w:t>Alvin Rezki Kurniawan</w:t>
      </w:r>
      <w:r w:rsidR="00E019C6">
        <w:rPr>
          <w:rFonts w:ascii="Garamond" w:hAnsi="Garamond"/>
          <w:b/>
          <w:bCs/>
          <w:color w:val="000000" w:themeColor="text1"/>
          <w:vertAlign w:val="superscript"/>
        </w:rPr>
        <w:t>1</w:t>
      </w:r>
      <w:r w:rsidR="00E019C6" w:rsidRPr="00625263">
        <w:rPr>
          <w:noProof/>
          <w:lang w:val="en-US" w:eastAsia="ko-KR"/>
        </w:rPr>
        <w:drawing>
          <wp:inline distT="0" distB="0" distL="0" distR="0" wp14:anchorId="373E8BC5" wp14:editId="7584DA22">
            <wp:extent cx="107950" cy="107950"/>
            <wp:effectExtent l="0" t="0" r="6350" b="6350"/>
            <wp:docPr id="151257262" name="图片 144999692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7262" name="图片 1449996929">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00E019C6">
        <w:rPr>
          <w:rFonts w:ascii="Garamond" w:hAnsi="Garamond"/>
          <w:b/>
          <w:bCs/>
          <w:color w:val="000000" w:themeColor="text1"/>
        </w:rPr>
        <w:t>, Titi Dewi Warninda</w:t>
      </w:r>
      <w:r w:rsidR="00E019C6">
        <w:rPr>
          <w:rFonts w:ascii="Garamond" w:hAnsi="Garamond"/>
          <w:b/>
          <w:bCs/>
          <w:color w:val="000000" w:themeColor="text1"/>
          <w:vertAlign w:val="superscript"/>
        </w:rPr>
        <w:t>1</w:t>
      </w:r>
      <w:r w:rsidR="00A57B1C" w:rsidRPr="00625263">
        <w:rPr>
          <w:noProof/>
          <w:lang w:val="en-US" w:eastAsia="ko-KR"/>
        </w:rPr>
        <w:drawing>
          <wp:inline distT="0" distB="0" distL="0" distR="0" wp14:anchorId="07D13A3A" wp14:editId="22FBE82F">
            <wp:extent cx="107950" cy="107950"/>
            <wp:effectExtent l="0" t="0" r="6350" b="6350"/>
            <wp:docPr id="1974278627" name="图片 144999692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78627" name="图片 1449996929">
                      <a:hlinkClick r:id="rId11"/>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00E019C6">
        <w:rPr>
          <w:rFonts w:ascii="Garamond" w:hAnsi="Garamond"/>
          <w:b/>
          <w:bCs/>
          <w:color w:val="000000" w:themeColor="text1"/>
        </w:rPr>
        <w:t xml:space="preserve">, </w:t>
      </w:r>
      <w:proofErr w:type="spellStart"/>
      <w:r w:rsidR="00E019C6">
        <w:rPr>
          <w:rFonts w:ascii="Garamond" w:hAnsi="Garamond"/>
          <w:b/>
          <w:bCs/>
          <w:color w:val="000000" w:themeColor="text1"/>
        </w:rPr>
        <w:t>Murdiyah</w:t>
      </w:r>
      <w:proofErr w:type="spellEnd"/>
      <w:r w:rsidR="00E019C6">
        <w:rPr>
          <w:rFonts w:ascii="Garamond" w:hAnsi="Garamond"/>
          <w:b/>
          <w:bCs/>
          <w:color w:val="000000" w:themeColor="text1"/>
        </w:rPr>
        <w:t xml:space="preserve"> Hayati</w:t>
      </w:r>
      <w:r w:rsidR="00E019C6">
        <w:rPr>
          <w:rFonts w:ascii="Garamond" w:hAnsi="Garamond"/>
          <w:b/>
          <w:bCs/>
          <w:color w:val="000000" w:themeColor="text1"/>
          <w:vertAlign w:val="superscript"/>
        </w:rPr>
        <w:t>1</w:t>
      </w:r>
    </w:p>
    <w:p w14:paraId="333938C6" w14:textId="040B2F7C" w:rsidR="00DD1F92" w:rsidRPr="000A725F" w:rsidRDefault="00DD1F92" w:rsidP="0054120A">
      <w:pPr>
        <w:pStyle w:val="ListParagraph"/>
        <w:ind w:left="0" w:right="107"/>
        <w:jc w:val="center"/>
        <w:rPr>
          <w:rFonts w:ascii="Garamond" w:hAnsi="Garamond"/>
          <w:b/>
        </w:rPr>
      </w:pPr>
    </w:p>
    <w:p w14:paraId="7FE197C3" w14:textId="2DAA1A90" w:rsidR="00073BFE" w:rsidRPr="00E034D8" w:rsidRDefault="00E034D8" w:rsidP="0054120A">
      <w:pPr>
        <w:pStyle w:val="ListParagraph"/>
        <w:ind w:left="0" w:right="107"/>
        <w:jc w:val="center"/>
        <w:rPr>
          <w:rFonts w:ascii="Garamond" w:hAnsi="Garamond"/>
          <w:lang w:val="id-ID"/>
        </w:rPr>
      </w:pPr>
      <w:r>
        <w:rPr>
          <w:rFonts w:ascii="Garamond" w:hAnsi="Garamond"/>
          <w:vertAlign w:val="superscript"/>
        </w:rPr>
        <w:t>1</w:t>
      </w:r>
      <w:r w:rsidR="003A4D6D" w:rsidRPr="003A4D6D">
        <w:rPr>
          <w:rFonts w:ascii="Garamond" w:hAnsi="Garamond"/>
        </w:rPr>
        <w:t>Syarif Hidayatullah State Islamic University Jakarta</w:t>
      </w:r>
    </w:p>
    <w:p w14:paraId="1530831C" w14:textId="5DA5899A" w:rsidR="00611CAA" w:rsidRPr="000A725F" w:rsidRDefault="00323B01" w:rsidP="0054120A">
      <w:pPr>
        <w:shd w:val="clear" w:color="auto" w:fill="FFFFFF"/>
        <w:contextualSpacing/>
        <w:jc w:val="center"/>
        <w:outlineLvl w:val="2"/>
        <w:rPr>
          <w:rFonts w:ascii="Garamond" w:hAnsi="Garamond"/>
          <w:bCs/>
          <w:i/>
          <w:color w:val="000000" w:themeColor="text1"/>
          <w:spacing w:val="3"/>
        </w:rPr>
      </w:pPr>
      <w:r w:rsidRPr="000A725F">
        <w:rPr>
          <w:rFonts w:ascii="Garamond" w:hAnsi="Garamond"/>
          <w:i/>
          <w:color w:val="000000" w:themeColor="text1"/>
        </w:rPr>
        <w:t xml:space="preserve">e-mail: </w:t>
      </w:r>
      <w:r w:rsidR="003A4D6D">
        <w:rPr>
          <w:rFonts w:ascii="Garamond" w:hAnsi="Garamond"/>
          <w:i/>
          <w:color w:val="000000" w:themeColor="text1"/>
        </w:rPr>
        <w:t>alvin.kurniawan19@mhs.uinjkt.ac.id</w:t>
      </w:r>
    </w:p>
    <w:p w14:paraId="318CCFFB" w14:textId="542A155B" w:rsidR="009C3EA9" w:rsidRPr="000A725F" w:rsidRDefault="009C3EA9" w:rsidP="0054120A">
      <w:pPr>
        <w:pStyle w:val="ListParagraph"/>
        <w:ind w:left="0" w:right="107"/>
        <w:rPr>
          <w:rFonts w:ascii="Garamond" w:hAnsi="Garamond"/>
          <w:i/>
          <w:color w:val="000000" w:themeColor="text1"/>
        </w:rPr>
      </w:pPr>
    </w:p>
    <w:p w14:paraId="01228CFC" w14:textId="292DE02E" w:rsidR="00297C28" w:rsidRPr="000A725F" w:rsidRDefault="00297C28" w:rsidP="0054120A">
      <w:pPr>
        <w:pStyle w:val="ListParagraph"/>
        <w:ind w:left="0" w:right="107"/>
        <w:jc w:val="center"/>
        <w:rPr>
          <w:rFonts w:ascii="Garamond" w:hAnsi="Garamond"/>
          <w:i/>
        </w:rPr>
      </w:pPr>
    </w:p>
    <w:p w14:paraId="13ACFAE3" w14:textId="67E592A2" w:rsidR="000A725F" w:rsidRDefault="000A725F" w:rsidP="0054120A">
      <w:pPr>
        <w:spacing w:after="160"/>
        <w:contextualSpacing/>
        <w:jc w:val="center"/>
        <w:rPr>
          <w:rFonts w:ascii="Garamond" w:hAnsi="Garamond"/>
          <w:b/>
          <w:bCs/>
        </w:rPr>
      </w:pPr>
      <w:r w:rsidRPr="004C06AE">
        <w:rPr>
          <w:rFonts w:ascii="Garamond" w:hAnsi="Garamond"/>
          <w:b/>
          <w:bCs/>
        </w:rPr>
        <w:t>ABSTRACT</w:t>
      </w:r>
      <w:r w:rsidR="00E034D8">
        <w:rPr>
          <w:rFonts w:ascii="Garamond" w:hAnsi="Garamond"/>
          <w:b/>
          <w:bCs/>
        </w:rPr>
        <w:t xml:space="preserve"> </w:t>
      </w:r>
    </w:p>
    <w:p w14:paraId="24A196DB" w14:textId="5B2881BB" w:rsidR="00B315F0" w:rsidRPr="004C06AE" w:rsidRDefault="00B315F0" w:rsidP="0054120A">
      <w:pPr>
        <w:spacing w:after="160"/>
        <w:contextualSpacing/>
        <w:jc w:val="center"/>
        <w:rPr>
          <w:rFonts w:ascii="Garamond" w:hAnsi="Garamond"/>
        </w:rPr>
      </w:pPr>
    </w:p>
    <w:p w14:paraId="6C8597E4" w14:textId="77777777" w:rsidR="007E4A4E" w:rsidRPr="00300480" w:rsidRDefault="007E4A4E" w:rsidP="007E4A4E">
      <w:pPr>
        <w:jc w:val="both"/>
      </w:pPr>
      <w:r w:rsidRPr="00300480">
        <w:t xml:space="preserve">This study examines the impact of United States reciprocal tariff announcements on stock market reactions in ASEAN countries using six major indices: IHSG (Indonesia), STI (Singapore), FTSE KLCI (Malaysia), SET (Thailand), </w:t>
      </w:r>
      <w:proofErr w:type="spellStart"/>
      <w:r w:rsidRPr="00300480">
        <w:t>PSEi</w:t>
      </w:r>
      <w:proofErr w:type="spellEnd"/>
      <w:r w:rsidRPr="00300480">
        <w:t xml:space="preserve"> (Philippines), and VN Index (Vietnam) in 2025. Three events are </w:t>
      </w:r>
      <w:proofErr w:type="spellStart"/>
      <w:r w:rsidRPr="00300480">
        <w:t>analyzed</w:t>
      </w:r>
      <w:proofErr w:type="spellEnd"/>
      <w:r w:rsidRPr="00300480">
        <w:t>: the initial tariff announcement on 2 April 2025, the tariff pause announcement on 9 April 2025, and the tariff adjustment announcement on 1 August 2025. An event study method is applied with a 120-day estimation period and an event window from t0 to t+3 using the mean-adjusted model. Hypothesis testing employs the One-Sample t-Test or the Wilcoxon Signed Rank Test based on data normality. The results show that the initial tariff announcement generated significant negative cumulative abnormal returns, particularly in Vietnam and Singapore. The tariff pause announcement produced significant positive abnormal returns, indicating a market rebound following reduced policy uncertainty. The tariff adjustment announcement resulted in more moderate reactions, with insignificant daily abnormal returns but a positive cumulative effect. Overall, ASEAN stock markets react to U.S. tariff announcements, though price adjustment is not always immediate, indicating deviations from full semi-strong market efficiency.</w:t>
      </w:r>
    </w:p>
    <w:p w14:paraId="3653D209" w14:textId="68B7E0DE" w:rsidR="00B315F0" w:rsidRPr="004C06AE" w:rsidRDefault="00B315F0" w:rsidP="0054120A">
      <w:pPr>
        <w:spacing w:after="160"/>
        <w:contextualSpacing/>
        <w:jc w:val="both"/>
        <w:rPr>
          <w:rFonts w:ascii="Garamond" w:hAnsi="Garamond"/>
        </w:rPr>
      </w:pPr>
    </w:p>
    <w:p w14:paraId="18902A66" w14:textId="19FC993B" w:rsidR="000A725F" w:rsidRDefault="000A725F" w:rsidP="00E034D8">
      <w:pPr>
        <w:contextualSpacing/>
        <w:jc w:val="both"/>
        <w:rPr>
          <w:rFonts w:ascii="Garamond" w:hAnsi="Garamond"/>
        </w:rPr>
      </w:pPr>
      <w:r w:rsidRPr="004C06AE">
        <w:rPr>
          <w:rFonts w:ascii="Garamond" w:hAnsi="Garamond"/>
          <w:b/>
          <w:bCs/>
        </w:rPr>
        <w:t>Keywords:</w:t>
      </w:r>
      <w:r w:rsidRPr="004C06AE">
        <w:rPr>
          <w:rFonts w:ascii="Garamond" w:hAnsi="Garamond"/>
        </w:rPr>
        <w:t xml:space="preserve"> </w:t>
      </w:r>
      <w:r w:rsidR="00150B9E">
        <w:rPr>
          <w:rFonts w:ascii="Garamond" w:hAnsi="Garamond"/>
        </w:rPr>
        <w:t>t</w:t>
      </w:r>
      <w:r w:rsidR="00150B9E" w:rsidRPr="00150B9E">
        <w:rPr>
          <w:rFonts w:ascii="Garamond" w:hAnsi="Garamond"/>
        </w:rPr>
        <w:t>ariff announcement, abnormal return, event study, efficient market hypothesis, ASEAN stock index</w:t>
      </w:r>
    </w:p>
    <w:p w14:paraId="534B884D" w14:textId="77777777" w:rsidR="000A725F" w:rsidRDefault="000A725F" w:rsidP="0054120A">
      <w:pPr>
        <w:contextualSpacing/>
        <w:jc w:val="both"/>
        <w:rPr>
          <w:rFonts w:ascii="Garamond" w:hAnsi="Garamond"/>
        </w:rPr>
      </w:pPr>
    </w:p>
    <w:p w14:paraId="681AC2B2" w14:textId="77777777" w:rsidR="00150B9E" w:rsidRDefault="00150B9E" w:rsidP="0054120A">
      <w:pPr>
        <w:contextualSpacing/>
        <w:jc w:val="both"/>
        <w:rPr>
          <w:rFonts w:ascii="Garamond" w:hAnsi="Garamond"/>
        </w:rPr>
      </w:pPr>
    </w:p>
    <w:p w14:paraId="15FD5F9C" w14:textId="77777777" w:rsidR="00150B9E" w:rsidRDefault="00150B9E" w:rsidP="0054120A">
      <w:pPr>
        <w:contextualSpacing/>
        <w:jc w:val="both"/>
        <w:rPr>
          <w:rFonts w:ascii="Garamond" w:hAnsi="Garamond"/>
        </w:rPr>
      </w:pPr>
    </w:p>
    <w:p w14:paraId="09FB5328" w14:textId="77777777" w:rsidR="00150B9E" w:rsidRDefault="00150B9E" w:rsidP="0054120A">
      <w:pPr>
        <w:contextualSpacing/>
        <w:jc w:val="both"/>
        <w:rPr>
          <w:rFonts w:ascii="Garamond" w:hAnsi="Garamond"/>
        </w:rPr>
      </w:pPr>
    </w:p>
    <w:p w14:paraId="06E1D346" w14:textId="77777777" w:rsidR="00150B9E" w:rsidRDefault="00150B9E" w:rsidP="0054120A">
      <w:pPr>
        <w:contextualSpacing/>
        <w:jc w:val="both"/>
        <w:rPr>
          <w:rFonts w:ascii="Garamond" w:hAnsi="Garamond"/>
        </w:rPr>
      </w:pPr>
    </w:p>
    <w:p w14:paraId="702258D7" w14:textId="77777777" w:rsidR="00150B9E" w:rsidRDefault="00150B9E" w:rsidP="0054120A">
      <w:pPr>
        <w:contextualSpacing/>
        <w:jc w:val="both"/>
        <w:rPr>
          <w:rFonts w:ascii="Garamond" w:hAnsi="Garamond"/>
        </w:rPr>
      </w:pPr>
    </w:p>
    <w:p w14:paraId="3C2196C3" w14:textId="77777777" w:rsidR="00150B9E" w:rsidRDefault="00150B9E" w:rsidP="0054120A">
      <w:pPr>
        <w:contextualSpacing/>
        <w:jc w:val="both"/>
        <w:rPr>
          <w:rFonts w:ascii="Garamond" w:hAnsi="Garamond"/>
        </w:rPr>
      </w:pPr>
    </w:p>
    <w:p w14:paraId="2591255E" w14:textId="77777777" w:rsidR="00150B9E" w:rsidRDefault="00150B9E" w:rsidP="0054120A">
      <w:pPr>
        <w:contextualSpacing/>
        <w:jc w:val="both"/>
        <w:rPr>
          <w:rFonts w:ascii="Garamond" w:hAnsi="Garamond"/>
        </w:rPr>
      </w:pPr>
    </w:p>
    <w:p w14:paraId="30925713" w14:textId="77777777" w:rsidR="00150B9E" w:rsidRDefault="00150B9E" w:rsidP="0054120A">
      <w:pPr>
        <w:contextualSpacing/>
        <w:jc w:val="both"/>
        <w:rPr>
          <w:rFonts w:ascii="Garamond" w:hAnsi="Garamond"/>
        </w:rPr>
      </w:pPr>
    </w:p>
    <w:p w14:paraId="56FAAB45" w14:textId="77777777" w:rsidR="00150B9E" w:rsidRDefault="00150B9E" w:rsidP="0054120A">
      <w:pPr>
        <w:contextualSpacing/>
        <w:jc w:val="both"/>
        <w:rPr>
          <w:rFonts w:ascii="Garamond" w:hAnsi="Garamond"/>
        </w:rPr>
      </w:pPr>
    </w:p>
    <w:p w14:paraId="52FC5244" w14:textId="77777777" w:rsidR="00150B9E" w:rsidRDefault="00150B9E" w:rsidP="0054120A">
      <w:pPr>
        <w:contextualSpacing/>
        <w:jc w:val="both"/>
        <w:rPr>
          <w:rFonts w:ascii="Garamond" w:hAnsi="Garamond"/>
        </w:rPr>
      </w:pPr>
    </w:p>
    <w:p w14:paraId="7B0A7C87" w14:textId="77777777" w:rsidR="00150B9E" w:rsidRDefault="00150B9E" w:rsidP="0054120A">
      <w:pPr>
        <w:contextualSpacing/>
        <w:jc w:val="both"/>
        <w:rPr>
          <w:rFonts w:ascii="Garamond" w:hAnsi="Garamond"/>
        </w:rPr>
      </w:pPr>
    </w:p>
    <w:p w14:paraId="43167D99" w14:textId="77777777" w:rsidR="00150B9E" w:rsidRDefault="00150B9E" w:rsidP="0054120A">
      <w:pPr>
        <w:contextualSpacing/>
        <w:jc w:val="both"/>
        <w:rPr>
          <w:rFonts w:ascii="Garamond" w:hAnsi="Garamond"/>
        </w:rPr>
      </w:pPr>
    </w:p>
    <w:p w14:paraId="4FBA1ADD" w14:textId="77777777" w:rsidR="00150B9E" w:rsidRDefault="00150B9E" w:rsidP="0054120A">
      <w:pPr>
        <w:contextualSpacing/>
        <w:jc w:val="both"/>
        <w:rPr>
          <w:rFonts w:ascii="Garamond" w:hAnsi="Garamond"/>
        </w:rPr>
      </w:pPr>
    </w:p>
    <w:p w14:paraId="33636E19" w14:textId="77777777" w:rsidR="00150B9E" w:rsidRDefault="00150B9E" w:rsidP="0054120A">
      <w:pPr>
        <w:contextualSpacing/>
        <w:jc w:val="both"/>
        <w:rPr>
          <w:rFonts w:ascii="Garamond" w:hAnsi="Garamond"/>
        </w:rPr>
      </w:pPr>
    </w:p>
    <w:p w14:paraId="3856F932" w14:textId="77777777" w:rsidR="00150B9E" w:rsidRDefault="00150B9E" w:rsidP="0054120A">
      <w:pPr>
        <w:contextualSpacing/>
        <w:jc w:val="both"/>
        <w:rPr>
          <w:rFonts w:ascii="Garamond" w:hAnsi="Garamond"/>
        </w:rPr>
      </w:pPr>
    </w:p>
    <w:p w14:paraId="2F15C756" w14:textId="77777777" w:rsidR="00DC5BC0" w:rsidRDefault="00DC5BC0" w:rsidP="0054120A">
      <w:pPr>
        <w:contextualSpacing/>
        <w:jc w:val="both"/>
        <w:rPr>
          <w:rFonts w:ascii="Garamond" w:hAnsi="Garamond"/>
        </w:rPr>
      </w:pPr>
    </w:p>
    <w:p w14:paraId="2C4F7730" w14:textId="77777777" w:rsidR="00150B9E" w:rsidRDefault="00150B9E" w:rsidP="0054120A">
      <w:pPr>
        <w:contextualSpacing/>
        <w:jc w:val="both"/>
        <w:rPr>
          <w:rFonts w:ascii="Garamond" w:hAnsi="Garamond"/>
        </w:rPr>
      </w:pPr>
    </w:p>
    <w:p w14:paraId="7810EFE5" w14:textId="13658917" w:rsidR="00150B9E" w:rsidRDefault="00150B9E" w:rsidP="00DC5BC0">
      <w:pPr>
        <w:pStyle w:val="ListParagraph"/>
        <w:numPr>
          <w:ilvl w:val="0"/>
          <w:numId w:val="7"/>
        </w:numPr>
        <w:ind w:left="426" w:hanging="426"/>
        <w:rPr>
          <w:rFonts w:ascii="Garamond" w:hAnsi="Garamond"/>
          <w:b/>
          <w:bCs/>
        </w:rPr>
      </w:pPr>
      <w:r w:rsidRPr="00150B9E">
        <w:rPr>
          <w:rFonts w:ascii="Garamond" w:hAnsi="Garamond"/>
          <w:b/>
          <w:bCs/>
        </w:rPr>
        <w:t>INTRODUCTION</w:t>
      </w:r>
    </w:p>
    <w:p w14:paraId="4D128E84" w14:textId="77777777" w:rsidR="00C259CC" w:rsidRDefault="00C259CC" w:rsidP="00C259CC">
      <w:pPr>
        <w:rPr>
          <w:rFonts w:ascii="Garamond" w:hAnsi="Garamond"/>
          <w:b/>
          <w:bCs/>
        </w:rPr>
      </w:pPr>
    </w:p>
    <w:p w14:paraId="2FEFF0BA" w14:textId="202DCD48" w:rsidR="00C259CC" w:rsidRDefault="00C259CC" w:rsidP="00C259CC">
      <w:pPr>
        <w:ind w:firstLine="720"/>
        <w:contextualSpacing/>
        <w:jc w:val="both"/>
        <w:rPr>
          <w:rFonts w:ascii="Garamond" w:hAnsi="Garamond"/>
          <w:lang w:bidi="en-US"/>
        </w:rPr>
      </w:pPr>
      <w:r w:rsidRPr="00C259CC">
        <w:rPr>
          <w:rFonts w:ascii="Garamond" w:hAnsi="Garamond"/>
          <w:lang w:bidi="en-US"/>
        </w:rPr>
        <w:t>Capital markets function as a barometer of a country’s economic health and reflect investors’ collective expectations about future conditions. Stock prices are highly sensitive to new information, including global political developments and policy shocks that can transmit quickly across borders.</w:t>
      </w:r>
      <w:r w:rsidR="00244970">
        <w:rPr>
          <w:rFonts w:ascii="Garamond" w:hAnsi="Garamond"/>
          <w:lang w:bidi="en-US"/>
        </w:rPr>
        <w:t xml:space="preserve"> </w:t>
      </w:r>
      <w:r w:rsidR="00244970" w:rsidRPr="00244970">
        <w:rPr>
          <w:rFonts w:ascii="Garamond" w:hAnsi="Garamond"/>
          <w:lang w:bidi="en-US"/>
        </w:rPr>
        <w:t>The uncertainty caused by geopolitical events not only impacts local markets but can also have an impact on international financial markets</w:t>
      </w:r>
      <w:r w:rsidR="00244970">
        <w:rPr>
          <w:rFonts w:ascii="Garamond" w:hAnsi="Garamond"/>
          <w:lang w:bidi="en-US"/>
        </w:rPr>
        <w:t xml:space="preserve"> </w:t>
      </w:r>
      <w:r w:rsidR="00244970" w:rsidRPr="00244970">
        <w:rPr>
          <w:rFonts w:ascii="Garamond" w:hAnsi="Garamond"/>
          <w:color w:val="4F81BD" w:themeColor="accent1"/>
          <w:lang w:bidi="en-US"/>
        </w:rPr>
        <w:fldChar w:fldCharType="begin"/>
      </w:r>
      <w:r w:rsidR="00244970" w:rsidRPr="00244970">
        <w:rPr>
          <w:rFonts w:ascii="Garamond" w:hAnsi="Garamond"/>
          <w:color w:val="4F81BD" w:themeColor="accent1"/>
          <w:lang w:bidi="en-US"/>
        </w:rPr>
        <w:instrText xml:space="preserve"> ADDIN ZOTERO_ITEM CSL_CITATION {"citationID":"uI7JeGat","properties":{"formattedCitation":"(Buigut &amp; Kapar, 2020)","plainCitation":"(Buigut &amp; Kapar, 2020)","noteIndex":0},"citationItems":[{"id":63,"uris":["http://zotero.org/users/local/1Z4MS4c2/items/IKA6URVB"],"itemData":{"id":63,"type":"article-journal","abstract":"This study undertakes a comparative analysis of the impact of the Qatar blockade on seven stock markets in GCC countries using event study methodology. Qatar’s economy shows resilience, with its indices significantly reacting negatively to the crisis over the shorter event windows, but less so over longer event window. Saudi Arabia’s banking industry, Dubai’s real estate industry and Abu Dhabi’s energy industry registered positive abnormal return, indicating no serious economic stress to the leading blockading countries. Our findings suggest economic considerations alone is unlikely to be the compelling factor for the feuding parties in the quest for a solution.","container-title":"Finance Research Letters","DOI":"10.1016/j.frl.2019.101352","ISSN":"15446123","journalAbbreviation":"Finance Research Letters","language":"en","page":"101352","source":"DOI.org (Crossref)","title":"Effect of Qatar diplomatic and economic isolation on GCC stock markets: An event study approach","title-short":"Effect of Qatar diplomatic and economic isolation on GCC stock markets","volume":"37","author":[{"family":"Buigut","given":"Steven"},{"family":"Kapar","given":"Burcu"}],"issued":{"date-parts":[["2020",11]]}}}],"schema":"https://github.com/citation-style-language/schema/raw/master/csl-citation.json"} </w:instrText>
      </w:r>
      <w:r w:rsidR="00244970" w:rsidRPr="00244970">
        <w:rPr>
          <w:rFonts w:ascii="Garamond" w:hAnsi="Garamond"/>
          <w:color w:val="4F81BD" w:themeColor="accent1"/>
          <w:lang w:bidi="en-US"/>
        </w:rPr>
        <w:fldChar w:fldCharType="separate"/>
      </w:r>
      <w:r w:rsidR="00244970" w:rsidRPr="00244970">
        <w:rPr>
          <w:rFonts w:ascii="Garamond" w:hAnsi="Garamond"/>
          <w:color w:val="4F81BD" w:themeColor="accent1"/>
        </w:rPr>
        <w:t>(Buigut &amp; Kapar, 2020)</w:t>
      </w:r>
      <w:r w:rsidR="00244970" w:rsidRPr="00244970">
        <w:rPr>
          <w:rFonts w:ascii="Garamond" w:hAnsi="Garamond"/>
          <w:color w:val="4F81BD" w:themeColor="accent1"/>
          <w:lang w:bidi="en-US"/>
        </w:rPr>
        <w:fldChar w:fldCharType="end"/>
      </w:r>
      <w:r w:rsidR="00244970" w:rsidRPr="00244970">
        <w:rPr>
          <w:rFonts w:ascii="Garamond" w:hAnsi="Garamond"/>
          <w:lang w:bidi="en-US"/>
        </w:rPr>
        <w:t>.</w:t>
      </w:r>
      <w:r w:rsidRPr="00C259CC">
        <w:rPr>
          <w:rFonts w:ascii="Garamond" w:hAnsi="Garamond"/>
          <w:lang w:bidi="en-US"/>
        </w:rPr>
        <w:t xml:space="preserve"> Recent geopolitical events, particularly changes in United States trade policy, have therefore attracted considerable attention from investors and policymakers in emerging markets such as ASEAN.</w:t>
      </w:r>
    </w:p>
    <w:p w14:paraId="38C09359" w14:textId="77777777" w:rsidR="00C437DD" w:rsidRDefault="00C259CC" w:rsidP="00C259CC">
      <w:pPr>
        <w:ind w:firstLine="720"/>
        <w:contextualSpacing/>
        <w:jc w:val="both"/>
      </w:pPr>
      <w:r w:rsidRPr="00C259CC">
        <w:rPr>
          <w:rFonts w:ascii="Garamond" w:hAnsi="Garamond"/>
          <w:lang w:bidi="en-US"/>
        </w:rPr>
        <w:t>In 2025, President Donald J. Trump, the 47th President of the United States, declared the introduction of a new “reciprocal” tariff regime as a national “Liberation Day” for the American people</w:t>
      </w:r>
      <w:r w:rsidR="00244970">
        <w:rPr>
          <w:rFonts w:ascii="Garamond" w:hAnsi="Garamond"/>
          <w:lang w:bidi="en-US"/>
        </w:rPr>
        <w:t xml:space="preserve"> </w:t>
      </w:r>
      <w:r w:rsidR="00244970" w:rsidRPr="00244970">
        <w:rPr>
          <w:rFonts w:ascii="Garamond" w:hAnsi="Garamond"/>
          <w:color w:val="4F81BD" w:themeColor="accent1"/>
          <w:lang w:bidi="en-US"/>
        </w:rPr>
        <w:fldChar w:fldCharType="begin"/>
      </w:r>
      <w:r w:rsidR="00244970" w:rsidRPr="00244970">
        <w:rPr>
          <w:rFonts w:ascii="Garamond" w:hAnsi="Garamond"/>
          <w:color w:val="4F81BD" w:themeColor="accent1"/>
          <w:lang w:bidi="en-US"/>
        </w:rPr>
        <w:instrText xml:space="preserve"> ADDIN ZOTERO_ITEM CSL_CITATION {"citationID":"eSAUjYiT","properties":{"formattedCitation":"(Ozili, 2025)","plainCitation":"(Ozili, 2025)","noteIndex":0},"citationItems":[{"id":52,"uris":["http://zotero.org/users/local/1Z4MS4c2/items/S5SCRXJ7"],"itemData":{"id":52,"type":"article","DOI":"10.2139/ssrn.5211851","publisher":"SSRN","source":"DOI.org (Crossref)","title":"Impact of Retaliatory Trade Tariff on the Global Economy: How Liberation Day Tariff Affects the World, Europe, Africa and Asia","title-short":"Impact of Retaliatory Trade Tariff on the Global Economy","URL":"https://www.ssrn.com/abstract=5211851","author":[{"family":"Ozili","given":"Peterson K"}],"accessed":{"date-parts":[["2025",9,22]]},"issued":{"date-parts":[["2025"]]}}}],"schema":"https://github.com/citation-style-language/schema/raw/master/csl-citation.json"} </w:instrText>
      </w:r>
      <w:r w:rsidR="00244970" w:rsidRPr="00244970">
        <w:rPr>
          <w:rFonts w:ascii="Garamond" w:hAnsi="Garamond"/>
          <w:color w:val="4F81BD" w:themeColor="accent1"/>
          <w:lang w:bidi="en-US"/>
        </w:rPr>
        <w:fldChar w:fldCharType="separate"/>
      </w:r>
      <w:r w:rsidR="00244970" w:rsidRPr="00244970">
        <w:rPr>
          <w:rFonts w:ascii="Garamond" w:hAnsi="Garamond"/>
          <w:color w:val="4F81BD" w:themeColor="accent1"/>
        </w:rPr>
        <w:t>(Ozili, 2025)</w:t>
      </w:r>
      <w:r w:rsidR="00244970" w:rsidRPr="00244970">
        <w:rPr>
          <w:rFonts w:ascii="Garamond" w:hAnsi="Garamond"/>
          <w:color w:val="4F81BD" w:themeColor="accent1"/>
          <w:lang w:bidi="en-US"/>
        </w:rPr>
        <w:fldChar w:fldCharType="end"/>
      </w:r>
      <w:r w:rsidRPr="00C259CC">
        <w:rPr>
          <w:rFonts w:ascii="Garamond" w:hAnsi="Garamond"/>
          <w:lang w:bidi="en-US"/>
        </w:rPr>
        <w:t>. The policy, formalized in Executive Order 14257, consists of a universal 10 percent tariff on all imports into the United States combined with additional reciprocal tariffs targeting countries with large trade surpluses against the U.S.</w:t>
      </w:r>
      <w:r>
        <w:rPr>
          <w:rFonts w:ascii="Garamond" w:hAnsi="Garamond"/>
          <w:lang w:bidi="en-US"/>
        </w:rPr>
        <w:t xml:space="preserve"> </w:t>
      </w:r>
      <w:r w:rsidRPr="00C259CC">
        <w:rPr>
          <w:rFonts w:ascii="Garamond" w:hAnsi="Garamond"/>
          <w:color w:val="4F81BD" w:themeColor="accent1"/>
          <w:lang w:bidi="en-US"/>
        </w:rPr>
        <w:fldChar w:fldCharType="begin"/>
      </w:r>
      <w:r w:rsidRPr="00C259CC">
        <w:rPr>
          <w:rFonts w:ascii="Garamond" w:hAnsi="Garamond"/>
          <w:color w:val="4F81BD" w:themeColor="accent1"/>
          <w:lang w:bidi="en-US"/>
        </w:rPr>
        <w:instrText xml:space="preserve"> ADDIN ZOTERO_ITEM CSL_CITATION {"citationID":"Jh5CHa5O","properties":{"formattedCitation":"(Aldaba, 2025)","plainCitation":"(Aldaba, 2025)","noteIndex":0},"citationItems":[{"id":51,"uris":["http://zotero.org/users/local/1Z4MS4c2/items/LQTQVMU2"],"itemData":{"id":51,"type":"report","abstract":"Amid the evolving US-China tariff realignment and the broader restructuring of global value chains, this paper evaluates the vulnerability and strategic positioning of the Philippines alongside four other ASEAN economies—Indonesia, Malaysia, Thailand, and Vietnam. For the ASEAN-5, the key challenge lies in minimizing exposure to import flooding from displaced Chinese goods and potential exclusion from global value chains if competitiveness falters, while also capitalizing on trade and investment diversion opportunities.\n\nUsing a Tariff Exposure Composite Index (TECI), the assessment reveals that the\nPhilippines and Malaysia fall within the moderate-to-low risk tier, owing to relatively low reciprocal tariff rates and strong exemption coverage—particularly for high-value electronics. Indonesia is classified as moderate risk but is more vulnerable due to limited exemption coverage and a dependence on low-tech, commoditized exports. Meanwhile, Vietnam and Thailand are in the high-risk tier, driven by steep tariffs, significant US export dependence, and only moderate levels of tariff exemption.\n\nAbsent a coordinated and forward-looking policy response, the Philippines and its\nASEAN neighbors risk becoming passive bystanders in an increasingly fragmented trade landscape. However, with strategic alignment of trade and industrial policy, the deployment of robust trade defense tools, and deeper ASEAN collaboration, these economies can reframe the current disruption as a platform to reposition themselves as high-trust, tariff-resilient production hubs in the new global trading order.","note":"DOI: 10.62986/dp2025.06","publisher":"Philippine Institute for Development Studies","source":"DOI.org (Crossref)","title":"Navigating a New Era of Reciprocal Tariffs: Strategic Implications for the Philippines and Selected ASEAN Economies","title-short":"Navigating a New Era of Reciprocal Tariffs","URL":"https://pids.gov.ph/publication/discussion-papers/navigating-a-new-era-of-reciprocal-tariffs-strategic-implications-for-the-philippines-and-selected-asean-economies","author":[{"family":"Aldaba","given":"Rafaelita"}],"accessed":{"date-parts":[["2025",9,22]]},"issued":{"date-parts":[["2025",4,22]]}}}],"schema":"https://github.com/citation-style-language/schema/raw/master/csl-citation.json"} </w:instrText>
      </w:r>
      <w:r w:rsidRPr="00C259CC">
        <w:rPr>
          <w:rFonts w:ascii="Garamond" w:hAnsi="Garamond"/>
          <w:color w:val="4F81BD" w:themeColor="accent1"/>
          <w:lang w:bidi="en-US"/>
        </w:rPr>
        <w:fldChar w:fldCharType="separate"/>
      </w:r>
      <w:r w:rsidRPr="00C259CC">
        <w:rPr>
          <w:rFonts w:ascii="Garamond" w:hAnsi="Garamond"/>
          <w:color w:val="4F81BD" w:themeColor="accent1"/>
        </w:rPr>
        <w:t>(Aldaba, 2025)</w:t>
      </w:r>
      <w:r w:rsidRPr="00C259CC">
        <w:rPr>
          <w:rFonts w:ascii="Garamond" w:hAnsi="Garamond"/>
          <w:color w:val="4F81BD" w:themeColor="accent1"/>
          <w:lang w:bidi="en-US"/>
        </w:rPr>
        <w:fldChar w:fldCharType="end"/>
      </w:r>
      <w:r w:rsidRPr="00C259CC">
        <w:rPr>
          <w:rFonts w:ascii="Garamond" w:hAnsi="Garamond"/>
          <w:lang w:bidi="en-US"/>
        </w:rPr>
        <w:t xml:space="preserve">. This move represents a significant escalation of the protectionist stance first seen during Trump’s first term, when the U.S.–China trade war in 2018–2019 triggered global financial turmoil, higher inflation expectations, and disruptions to supply chains </w:t>
      </w:r>
      <w:r w:rsidR="00244970" w:rsidRPr="00244970">
        <w:rPr>
          <w:rFonts w:ascii="Garamond" w:hAnsi="Garamond"/>
          <w:color w:val="4F81BD" w:themeColor="accent1"/>
          <w:lang w:bidi="en-US"/>
        </w:rPr>
        <w:fldChar w:fldCharType="begin"/>
      </w:r>
      <w:r w:rsidR="00244970" w:rsidRPr="00244970">
        <w:rPr>
          <w:rFonts w:ascii="Garamond" w:hAnsi="Garamond"/>
          <w:color w:val="4F81BD" w:themeColor="accent1"/>
          <w:lang w:bidi="en-US"/>
        </w:rPr>
        <w:instrText xml:space="preserve"> ADDIN ZOTERO_ITEM CSL_CITATION {"citationID":"2T2g3hrX","properties":{"formattedCitation":"(Kapar et al., 2025)","plainCitation":"(Kapar et al., 2025)","noteIndex":0},"citationItems":[{"id":65,"uris":["http://zotero.org/users/local/1Z4MS4c2/items/AWHIT6RV"],"itemData":{"id":65,"type":"article-journal","abstract":"We analyze the reaction of global markets to the US tariff announcement of April 2, 2025. The study utilizes daily prices from 20 stock market indices that account for the largest US trade. The indices are obtained from S&amp;P Capital IQ Pro and span the period from January 02, 2024, to May 28, 2025. The aim of the study is to evaluate the impact of the tariff announcement on the market volatility levels, correlation patterns, and market connectedness. To ensure robustness of the findings, we employ methodological triangulation, incorporating the combined use of network theory and visual techniques. The GARCH model is used to show the change in conditional volatility after the announcement. Correlation heat maps and minimum spanning tree graphs are used to interrogate the correlation among the indices. The Quantile Vector Autoregression (QVAR) model is utilized to assess changes in connectedness. The study contributes to our understanding of how global markets respond to tariffs, and the importance of emerging markets as volatility transmitters. The results show that conditional volatility increased roughly two-fold post-tariff, the correlations have become significantly higher posttariff, and markets are more interconnected. Brazil, Canada, South Africa and Vietnam emerge as the main transmitters, possibly due to regional trade shifts, while the US become less central. These findings indicate an increase in systemic risk in the global markets and underscore the need for de-escalation of the trade conflict and the pursuit of a negotiated resolution.","container-title":"Finance Research Letters","DOI":"10.1016/j.frl.2025.108452","ISSN":"15446123","journalAbbreviation":"Finance Research Letters","language":"en","page":"108452","source":"DOI.org (Crossref)","title":"The short-term reaction of financial markets to the U.S. trade tariff announcement","volume":"86","author":[{"family":"Kapar","given":"Burcu"},{"family":"Buigut","given":"Steven"},{"family":"Billah","given":"Syed Mabruk"}],"issued":{"date-parts":[["2025",12]]}}}],"schema":"https://github.com/citation-style-language/schema/raw/master/csl-citation.json"} </w:instrText>
      </w:r>
      <w:r w:rsidR="00244970" w:rsidRPr="00244970">
        <w:rPr>
          <w:rFonts w:ascii="Garamond" w:hAnsi="Garamond"/>
          <w:color w:val="4F81BD" w:themeColor="accent1"/>
          <w:lang w:bidi="en-US"/>
        </w:rPr>
        <w:fldChar w:fldCharType="separate"/>
      </w:r>
      <w:r w:rsidR="00244970" w:rsidRPr="00244970">
        <w:rPr>
          <w:rFonts w:ascii="Garamond" w:hAnsi="Garamond"/>
          <w:color w:val="4F81BD" w:themeColor="accent1"/>
        </w:rPr>
        <w:t>(Kapar et al., 2025)</w:t>
      </w:r>
      <w:r w:rsidR="00244970" w:rsidRPr="00244970">
        <w:rPr>
          <w:rFonts w:ascii="Garamond" w:hAnsi="Garamond"/>
          <w:color w:val="4F81BD" w:themeColor="accent1"/>
          <w:lang w:bidi="en-US"/>
        </w:rPr>
        <w:fldChar w:fldCharType="end"/>
      </w:r>
      <w:r w:rsidR="00244970">
        <w:rPr>
          <w:rFonts w:ascii="Garamond" w:hAnsi="Garamond"/>
          <w:lang w:bidi="en-US"/>
        </w:rPr>
        <w:t>.</w:t>
      </w:r>
      <w:r w:rsidR="00C437DD" w:rsidRPr="00C437DD">
        <w:t xml:space="preserve"> </w:t>
      </w:r>
    </w:p>
    <w:p w14:paraId="59363E10" w14:textId="2E58410D" w:rsidR="00C259CC" w:rsidRDefault="00C437DD" w:rsidP="00C437DD">
      <w:pPr>
        <w:ind w:firstLine="720"/>
        <w:contextualSpacing/>
        <w:jc w:val="both"/>
        <w:rPr>
          <w:rFonts w:ascii="Garamond" w:hAnsi="Garamond"/>
          <w:lang w:bidi="en-US"/>
        </w:rPr>
      </w:pPr>
      <w:r w:rsidRPr="00C437DD">
        <w:rPr>
          <w:rFonts w:ascii="Garamond" w:hAnsi="Garamond"/>
          <w:lang w:bidi="en-US"/>
        </w:rPr>
        <w:t>Starting in mid-2018, the US imposed a 25% tariff on $50 billion worth of Chinese imports as an initial measure, then expanded it to cover nearly all Chinese goods in 2019.</w:t>
      </w:r>
      <w:r>
        <w:rPr>
          <w:rFonts w:ascii="Garamond" w:hAnsi="Garamond"/>
          <w:lang w:bidi="en-US"/>
        </w:rPr>
        <w:t xml:space="preserve"> </w:t>
      </w:r>
      <w:r w:rsidRPr="00C437DD">
        <w:rPr>
          <w:rFonts w:ascii="Garamond" w:hAnsi="Garamond"/>
          <w:lang w:bidi="en-US"/>
        </w:rPr>
        <w:t>These tariff policies triggered significant changes in global trade patterns and supply chains. US imports from China plummeted, falling from 22% of total US imports in 2017 to approximately 18% in 2022.</w:t>
      </w:r>
      <w:r>
        <w:rPr>
          <w:rFonts w:ascii="Garamond" w:hAnsi="Garamond"/>
          <w:lang w:bidi="en-US"/>
        </w:rPr>
        <w:t xml:space="preserve"> </w:t>
      </w:r>
      <w:r w:rsidRPr="00C437DD">
        <w:rPr>
          <w:rFonts w:ascii="Garamond" w:hAnsi="Garamond"/>
          <w:lang w:bidi="en-US"/>
        </w:rPr>
        <w:t>In response, many companies shifted their supply sources to countries such as Vietnam and Mexico, which are not subject to the same tariffs. US imports from other countries increased by approximately 38% compared to pre-trade war trends, indicating substantial trade diversion</w:t>
      </w:r>
      <w:r>
        <w:rPr>
          <w:rFonts w:ascii="Garamond" w:hAnsi="Garamond"/>
          <w:lang w:bidi="en-US"/>
        </w:rPr>
        <w:t xml:space="preserve"> </w:t>
      </w:r>
      <w:r>
        <w:rPr>
          <w:rFonts w:ascii="Garamond" w:hAnsi="Garamond"/>
          <w:lang w:bidi="en-US"/>
        </w:rPr>
        <w:fldChar w:fldCharType="begin"/>
      </w:r>
      <w:r>
        <w:rPr>
          <w:rFonts w:ascii="Garamond" w:hAnsi="Garamond"/>
          <w:lang w:bidi="en-US"/>
        </w:rPr>
        <w:instrText xml:space="preserve"> ADDIN ZOTERO_ITEM CSL_CITATION {"citationID":"ZVKh70fN","properties":{"formattedCitation":"(Chad P. Bown, 2022)","plainCitation":"(Chad P. Bown, 2022)","noteIndex":0},"citationItems":[{"id":67,"uris":["http://zotero.org/users/local/1Z4MS4c2/items/DHRBZIKU"],"itemData":{"id":67,"type":"post-weblog","container-title":"Peterson Institute For International Economics","language":"en-US","title":"Four years into the trade war, are the US and China decoupling?","URL":"https://www.piie.com/blogs/realtime-economics/2022/four-years-trade-war-are-us-and-china-decoupling","author":[{"literal":"Chad P. Bown"}],"issued":{"date-parts":[["2022",10,20]]}}}],"schema":"https://github.com/citation-style-language/schema/raw/master/csl-citation.json"} </w:instrText>
      </w:r>
      <w:r>
        <w:rPr>
          <w:rFonts w:ascii="Garamond" w:hAnsi="Garamond"/>
          <w:lang w:bidi="en-US"/>
        </w:rPr>
        <w:fldChar w:fldCharType="separate"/>
      </w:r>
      <w:r w:rsidRPr="00244970">
        <w:rPr>
          <w:rFonts w:ascii="Garamond" w:hAnsi="Garamond"/>
          <w:color w:val="4F81BD" w:themeColor="accent1"/>
        </w:rPr>
        <w:t>(Chad P. Bown, 2022</w:t>
      </w:r>
      <w:r w:rsidRPr="00244970">
        <w:rPr>
          <w:rFonts w:ascii="Garamond" w:hAnsi="Garamond"/>
        </w:rPr>
        <w:t>)</w:t>
      </w:r>
      <w:r>
        <w:rPr>
          <w:rFonts w:ascii="Garamond" w:hAnsi="Garamond"/>
          <w:lang w:bidi="en-US"/>
        </w:rPr>
        <w:fldChar w:fldCharType="end"/>
      </w:r>
      <w:r w:rsidRPr="00C259CC">
        <w:rPr>
          <w:rFonts w:ascii="Garamond" w:hAnsi="Garamond"/>
          <w:lang w:bidi="en-US"/>
        </w:rPr>
        <w:t>.</w:t>
      </w:r>
    </w:p>
    <w:p w14:paraId="7F2EA8D3" w14:textId="77777777" w:rsidR="00AE4A6C" w:rsidRDefault="00AE4A6C" w:rsidP="00C437DD">
      <w:pPr>
        <w:ind w:firstLine="720"/>
        <w:contextualSpacing/>
        <w:jc w:val="both"/>
        <w:rPr>
          <w:rFonts w:ascii="Garamond" w:hAnsi="Garamond"/>
          <w:lang w:bidi="en-US"/>
        </w:rPr>
      </w:pPr>
    </w:p>
    <w:p w14:paraId="42CFC0FF" w14:textId="4C6E873C" w:rsidR="00AE4A6C" w:rsidRPr="00492D4C" w:rsidRDefault="00AE4A6C" w:rsidP="00AE4A6C">
      <w:pPr>
        <w:spacing w:after="160"/>
        <w:contextualSpacing/>
        <w:jc w:val="center"/>
        <w:rPr>
          <w:rFonts w:ascii="Garamond" w:hAnsi="Garamond"/>
          <w:b/>
          <w:bCs/>
        </w:rPr>
      </w:pPr>
      <w:r w:rsidRPr="00492D4C">
        <w:rPr>
          <w:rFonts w:ascii="Garamond" w:hAnsi="Garamond"/>
          <w:b/>
          <w:bCs/>
        </w:rPr>
        <w:t xml:space="preserve">Table </w:t>
      </w:r>
      <w:r w:rsidR="00247575">
        <w:rPr>
          <w:rFonts w:ascii="Garamond" w:hAnsi="Garamond"/>
          <w:b/>
          <w:bCs/>
        </w:rPr>
        <w:t>I</w:t>
      </w:r>
      <w:r w:rsidRPr="00492D4C">
        <w:rPr>
          <w:rFonts w:ascii="Garamond" w:hAnsi="Garamond"/>
          <w:b/>
          <w:bCs/>
        </w:rPr>
        <w:t xml:space="preserve">. </w:t>
      </w:r>
      <w:r>
        <w:rPr>
          <w:rFonts w:ascii="Garamond" w:hAnsi="Garamond"/>
          <w:b/>
          <w:bCs/>
        </w:rPr>
        <w:t xml:space="preserve">Reciprocal tariff by the United States of America </w:t>
      </w:r>
    </w:p>
    <w:p w14:paraId="372BDC51" w14:textId="77777777" w:rsidR="00AE4A6C" w:rsidRPr="00492D4C" w:rsidRDefault="00AE4A6C" w:rsidP="00AE4A6C">
      <w:pPr>
        <w:spacing w:after="160"/>
        <w:contextualSpacing/>
        <w:rPr>
          <w:rFonts w:ascii="Garamond" w:hAnsi="Garamond"/>
          <w:b/>
          <w:bCs/>
        </w:rPr>
      </w:pPr>
    </w:p>
    <w:tbl>
      <w:tblPr>
        <w:tblStyle w:val="PlainTable1"/>
        <w:tblW w:w="0" w:type="auto"/>
        <w:jc w:val="center"/>
        <w:tblLook w:val="04A0" w:firstRow="1" w:lastRow="0" w:firstColumn="1" w:lastColumn="0" w:noHBand="0" w:noVBand="1"/>
      </w:tblPr>
      <w:tblGrid>
        <w:gridCol w:w="937"/>
        <w:gridCol w:w="1004"/>
        <w:gridCol w:w="3694"/>
      </w:tblGrid>
      <w:tr w:rsidR="00AE4A6C" w:rsidRPr="00492D4C" w14:paraId="1F7F84C1" w14:textId="77777777" w:rsidTr="005736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AFD58F" w14:textId="77777777" w:rsidR="00AE4A6C" w:rsidRPr="00233856" w:rsidRDefault="00AE4A6C" w:rsidP="005736CE">
            <w:pPr>
              <w:spacing w:after="160"/>
              <w:contextualSpacing/>
              <w:jc w:val="both"/>
              <w:rPr>
                <w:rFonts w:ascii="Garamond" w:hAnsi="Garamond"/>
                <w:sz w:val="20"/>
                <w:szCs w:val="20"/>
              </w:rPr>
            </w:pPr>
            <w:r w:rsidRPr="00233856">
              <w:rPr>
                <w:rFonts w:ascii="Garamond" w:hAnsi="Garamond"/>
                <w:sz w:val="20"/>
                <w:szCs w:val="20"/>
              </w:rPr>
              <w:t>Number</w:t>
            </w:r>
          </w:p>
        </w:tc>
        <w:tc>
          <w:tcPr>
            <w:tcW w:w="0" w:type="auto"/>
            <w:hideMark/>
          </w:tcPr>
          <w:p w14:paraId="7CA0A962" w14:textId="77777777" w:rsidR="00AE4A6C" w:rsidRPr="00233856" w:rsidRDefault="00AE4A6C" w:rsidP="005736CE">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Country</w:t>
            </w:r>
          </w:p>
        </w:tc>
        <w:tc>
          <w:tcPr>
            <w:tcW w:w="0" w:type="auto"/>
            <w:hideMark/>
          </w:tcPr>
          <w:p w14:paraId="3A8F1E05" w14:textId="77777777" w:rsidR="00AE4A6C" w:rsidRPr="00233856" w:rsidRDefault="00AE4A6C" w:rsidP="005736CE">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3856">
              <w:rPr>
                <w:rFonts w:ascii="Garamond" w:hAnsi="Garamond"/>
                <w:sz w:val="20"/>
                <w:szCs w:val="20"/>
              </w:rPr>
              <w:t>Reciprocal tariff by the United States (%)</w:t>
            </w:r>
          </w:p>
        </w:tc>
      </w:tr>
      <w:tr w:rsidR="00AE4A6C" w:rsidRPr="00492D4C" w14:paraId="6F8433D1" w14:textId="77777777" w:rsidTr="005736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1498E8" w14:textId="77777777" w:rsidR="00AE4A6C" w:rsidRPr="00233856" w:rsidRDefault="00AE4A6C" w:rsidP="005736CE">
            <w:pPr>
              <w:spacing w:after="160"/>
              <w:contextualSpacing/>
              <w:jc w:val="both"/>
              <w:rPr>
                <w:rFonts w:ascii="Garamond" w:hAnsi="Garamond"/>
                <w:sz w:val="20"/>
                <w:szCs w:val="20"/>
              </w:rPr>
            </w:pPr>
            <w:r w:rsidRPr="00233856">
              <w:rPr>
                <w:rFonts w:ascii="Garamond" w:hAnsi="Garamond"/>
                <w:sz w:val="20"/>
                <w:szCs w:val="20"/>
              </w:rPr>
              <w:t>1</w:t>
            </w:r>
          </w:p>
        </w:tc>
        <w:tc>
          <w:tcPr>
            <w:tcW w:w="0" w:type="auto"/>
            <w:hideMark/>
          </w:tcPr>
          <w:p w14:paraId="033AF059" w14:textId="77777777" w:rsidR="00AE4A6C" w:rsidRPr="00233856" w:rsidRDefault="00AE4A6C" w:rsidP="005736CE">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Indonesia</w:t>
            </w:r>
          </w:p>
        </w:tc>
        <w:tc>
          <w:tcPr>
            <w:tcW w:w="0" w:type="auto"/>
            <w:hideMark/>
          </w:tcPr>
          <w:p w14:paraId="072347C0" w14:textId="77777777" w:rsidR="00AE4A6C" w:rsidRPr="00233856" w:rsidRDefault="00AE4A6C" w:rsidP="005736CE">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32</w:t>
            </w:r>
          </w:p>
        </w:tc>
      </w:tr>
      <w:tr w:rsidR="00AE4A6C" w:rsidRPr="00492D4C" w14:paraId="22B82A8A" w14:textId="77777777" w:rsidTr="005736C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C4CA0F" w14:textId="77777777" w:rsidR="00AE4A6C" w:rsidRPr="00233856" w:rsidRDefault="00AE4A6C" w:rsidP="005736CE">
            <w:pPr>
              <w:spacing w:after="160"/>
              <w:contextualSpacing/>
              <w:jc w:val="both"/>
              <w:rPr>
                <w:rFonts w:ascii="Garamond" w:hAnsi="Garamond"/>
                <w:sz w:val="20"/>
                <w:szCs w:val="20"/>
              </w:rPr>
            </w:pPr>
            <w:r w:rsidRPr="00233856">
              <w:rPr>
                <w:rFonts w:ascii="Garamond" w:hAnsi="Garamond"/>
                <w:sz w:val="20"/>
                <w:szCs w:val="20"/>
              </w:rPr>
              <w:t>2</w:t>
            </w:r>
          </w:p>
        </w:tc>
        <w:tc>
          <w:tcPr>
            <w:tcW w:w="0" w:type="auto"/>
            <w:hideMark/>
          </w:tcPr>
          <w:p w14:paraId="418876CB" w14:textId="77777777" w:rsidR="00AE4A6C" w:rsidRPr="00233856" w:rsidRDefault="00AE4A6C" w:rsidP="005736CE">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Malaysia</w:t>
            </w:r>
          </w:p>
        </w:tc>
        <w:tc>
          <w:tcPr>
            <w:tcW w:w="0" w:type="auto"/>
            <w:hideMark/>
          </w:tcPr>
          <w:p w14:paraId="2B421F51" w14:textId="77777777" w:rsidR="00AE4A6C" w:rsidRPr="00233856" w:rsidRDefault="00AE4A6C" w:rsidP="005736CE">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24</w:t>
            </w:r>
          </w:p>
        </w:tc>
      </w:tr>
      <w:tr w:rsidR="00AE4A6C" w:rsidRPr="00492D4C" w14:paraId="22E8295B" w14:textId="77777777" w:rsidTr="005736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E44A7E2" w14:textId="77777777" w:rsidR="00AE4A6C" w:rsidRPr="00233856" w:rsidRDefault="00AE4A6C" w:rsidP="005736CE">
            <w:pPr>
              <w:spacing w:after="160"/>
              <w:contextualSpacing/>
              <w:jc w:val="both"/>
              <w:rPr>
                <w:rFonts w:ascii="Garamond" w:hAnsi="Garamond"/>
                <w:sz w:val="20"/>
                <w:szCs w:val="20"/>
              </w:rPr>
            </w:pPr>
            <w:r w:rsidRPr="00233856">
              <w:rPr>
                <w:rFonts w:ascii="Garamond" w:hAnsi="Garamond"/>
                <w:sz w:val="20"/>
                <w:szCs w:val="20"/>
              </w:rPr>
              <w:t>3</w:t>
            </w:r>
          </w:p>
        </w:tc>
        <w:tc>
          <w:tcPr>
            <w:tcW w:w="0" w:type="auto"/>
          </w:tcPr>
          <w:p w14:paraId="7AE941F8" w14:textId="77777777" w:rsidR="00AE4A6C" w:rsidRPr="00233856" w:rsidRDefault="00AE4A6C" w:rsidP="005736CE">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Philippine</w:t>
            </w:r>
          </w:p>
        </w:tc>
        <w:tc>
          <w:tcPr>
            <w:tcW w:w="0" w:type="auto"/>
          </w:tcPr>
          <w:p w14:paraId="6194C220" w14:textId="77777777" w:rsidR="00AE4A6C" w:rsidRPr="00233856" w:rsidRDefault="00AE4A6C" w:rsidP="005736CE">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17</w:t>
            </w:r>
          </w:p>
        </w:tc>
      </w:tr>
      <w:tr w:rsidR="00AE4A6C" w:rsidRPr="00492D4C" w14:paraId="41CDEC8F" w14:textId="77777777" w:rsidTr="005736C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F8758D5" w14:textId="77777777" w:rsidR="00AE4A6C" w:rsidRPr="00233856" w:rsidRDefault="00AE4A6C" w:rsidP="005736CE">
            <w:pPr>
              <w:spacing w:after="160"/>
              <w:contextualSpacing/>
              <w:jc w:val="both"/>
              <w:rPr>
                <w:rFonts w:ascii="Garamond" w:hAnsi="Garamond"/>
                <w:sz w:val="20"/>
                <w:szCs w:val="20"/>
              </w:rPr>
            </w:pPr>
            <w:r w:rsidRPr="00233856">
              <w:rPr>
                <w:rFonts w:ascii="Garamond" w:hAnsi="Garamond"/>
                <w:sz w:val="20"/>
                <w:szCs w:val="20"/>
              </w:rPr>
              <w:t>4</w:t>
            </w:r>
          </w:p>
        </w:tc>
        <w:tc>
          <w:tcPr>
            <w:tcW w:w="0" w:type="auto"/>
          </w:tcPr>
          <w:p w14:paraId="4667B5E0" w14:textId="77777777" w:rsidR="00AE4A6C" w:rsidRPr="00233856" w:rsidRDefault="00AE4A6C" w:rsidP="005736CE">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Singapore</w:t>
            </w:r>
          </w:p>
        </w:tc>
        <w:tc>
          <w:tcPr>
            <w:tcW w:w="0" w:type="auto"/>
          </w:tcPr>
          <w:p w14:paraId="13B92BB1" w14:textId="77777777" w:rsidR="00AE4A6C" w:rsidRPr="00233856" w:rsidRDefault="00AE4A6C" w:rsidP="005736CE">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10</w:t>
            </w:r>
          </w:p>
        </w:tc>
      </w:tr>
      <w:tr w:rsidR="00AE4A6C" w:rsidRPr="00492D4C" w14:paraId="25D87394" w14:textId="77777777" w:rsidTr="005736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3F8F9D3" w14:textId="77777777" w:rsidR="00AE4A6C" w:rsidRPr="00233856" w:rsidRDefault="00AE4A6C" w:rsidP="005736CE">
            <w:pPr>
              <w:spacing w:after="160"/>
              <w:contextualSpacing/>
              <w:jc w:val="both"/>
              <w:rPr>
                <w:rFonts w:ascii="Garamond" w:hAnsi="Garamond"/>
                <w:sz w:val="20"/>
                <w:szCs w:val="20"/>
              </w:rPr>
            </w:pPr>
            <w:r w:rsidRPr="00233856">
              <w:rPr>
                <w:rFonts w:ascii="Garamond" w:hAnsi="Garamond"/>
                <w:sz w:val="20"/>
                <w:szCs w:val="20"/>
              </w:rPr>
              <w:t>5</w:t>
            </w:r>
          </w:p>
        </w:tc>
        <w:tc>
          <w:tcPr>
            <w:tcW w:w="0" w:type="auto"/>
          </w:tcPr>
          <w:p w14:paraId="5194DF41" w14:textId="77777777" w:rsidR="00AE4A6C" w:rsidRPr="00233856" w:rsidRDefault="00AE4A6C" w:rsidP="005736CE">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Thailand</w:t>
            </w:r>
          </w:p>
        </w:tc>
        <w:tc>
          <w:tcPr>
            <w:tcW w:w="0" w:type="auto"/>
          </w:tcPr>
          <w:p w14:paraId="5745A504" w14:textId="77777777" w:rsidR="00AE4A6C" w:rsidRPr="00233856" w:rsidRDefault="00AE4A6C" w:rsidP="005736CE">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36</w:t>
            </w:r>
          </w:p>
        </w:tc>
      </w:tr>
      <w:tr w:rsidR="00AE4A6C" w:rsidRPr="00492D4C" w14:paraId="1566DC27" w14:textId="77777777" w:rsidTr="005736C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D6C888" w14:textId="77777777" w:rsidR="00AE4A6C" w:rsidRPr="00233856" w:rsidRDefault="00AE4A6C" w:rsidP="005736CE">
            <w:pPr>
              <w:spacing w:after="160"/>
              <w:contextualSpacing/>
              <w:jc w:val="both"/>
              <w:rPr>
                <w:rFonts w:ascii="Garamond" w:hAnsi="Garamond"/>
                <w:sz w:val="20"/>
                <w:szCs w:val="20"/>
              </w:rPr>
            </w:pPr>
            <w:r w:rsidRPr="00233856">
              <w:rPr>
                <w:rFonts w:ascii="Garamond" w:hAnsi="Garamond"/>
                <w:sz w:val="20"/>
                <w:szCs w:val="20"/>
              </w:rPr>
              <w:t>6</w:t>
            </w:r>
          </w:p>
        </w:tc>
        <w:tc>
          <w:tcPr>
            <w:tcW w:w="0" w:type="auto"/>
          </w:tcPr>
          <w:p w14:paraId="79D80C74" w14:textId="77777777" w:rsidR="00AE4A6C" w:rsidRPr="00233856" w:rsidRDefault="00AE4A6C" w:rsidP="005736CE">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Vietnam</w:t>
            </w:r>
          </w:p>
        </w:tc>
        <w:tc>
          <w:tcPr>
            <w:tcW w:w="0" w:type="auto"/>
          </w:tcPr>
          <w:p w14:paraId="7062B280" w14:textId="77777777" w:rsidR="00AE4A6C" w:rsidRPr="00233856" w:rsidRDefault="00AE4A6C" w:rsidP="005736CE">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46</w:t>
            </w:r>
          </w:p>
        </w:tc>
      </w:tr>
    </w:tbl>
    <w:p w14:paraId="26187D31" w14:textId="77777777" w:rsidR="00AE4A6C" w:rsidRPr="00492D4C" w:rsidRDefault="00AE4A6C" w:rsidP="00AE4A6C">
      <w:pPr>
        <w:spacing w:after="160"/>
        <w:contextualSpacing/>
        <w:jc w:val="both"/>
        <w:rPr>
          <w:rFonts w:ascii="Garamond" w:hAnsi="Garamond"/>
          <w:i/>
          <w:iCs/>
        </w:rPr>
      </w:pPr>
      <w:r w:rsidRPr="00492D4C">
        <w:rPr>
          <w:rFonts w:ascii="Garamond" w:hAnsi="Garamond"/>
          <w:b/>
          <w:bCs/>
          <w:i/>
          <w:iCs/>
        </w:rPr>
        <w:t>Source:</w:t>
      </w:r>
      <w:r w:rsidRPr="00492D4C">
        <w:rPr>
          <w:rFonts w:ascii="Garamond" w:hAnsi="Garamond"/>
          <w:i/>
          <w:iCs/>
        </w:rPr>
        <w:t xml:space="preserve"> </w:t>
      </w:r>
      <w:r w:rsidRPr="00AE4A6C">
        <w:rPr>
          <w:rFonts w:ascii="Garamond" w:hAnsi="Garamond"/>
          <w:i/>
          <w:iCs/>
          <w:color w:val="4F81BD" w:themeColor="accent1"/>
        </w:rPr>
        <w:fldChar w:fldCharType="begin"/>
      </w:r>
      <w:r w:rsidRPr="00AE4A6C">
        <w:rPr>
          <w:rFonts w:ascii="Garamond" w:hAnsi="Garamond"/>
          <w:i/>
          <w:iCs/>
          <w:color w:val="4F81BD" w:themeColor="accent1"/>
        </w:rPr>
        <w:instrText xml:space="preserve"> ADDIN ZOTERO_ITEM CSL_CITATION {"citationID":"VPgLlB7y","properties":{"formattedCitation":"(Aldaba, 2025)","plainCitation":"(Aldaba, 2025)","noteIndex":0},"citationItems":[{"id":51,"uris":["http://zotero.org/users/local/1Z4MS4c2/items/LQTQVMU2"],"itemData":{"id":51,"type":"report","abstract":"Amid the evolving US-China tariff realignment and the broader restructuring of global value chains, this paper evaluates the vulnerability and strategic positioning of the Philippines alongside four other ASEAN economies—Indonesia, Malaysia, Thailand, and Vietnam. For the ASEAN-5, the key challenge lies in minimizing exposure to import flooding from displaced Chinese goods and potential exclusion from global value chains if competitiveness falters, while also capitalizing on trade and investment diversion opportunities.\n\nUsing a Tariff Exposure Composite Index (TECI), the assessment reveals that the\nPhilippines and Malaysia fall within the moderate-to-low risk tier, owing to relatively low reciprocal tariff rates and strong exemption coverage—particularly for high-value electronics. Indonesia is classified as moderate risk but is more vulnerable due to limited exemption coverage and a dependence on low-tech, commoditized exports. Meanwhile, Vietnam and Thailand are in the high-risk tier, driven by steep tariffs, significant US export dependence, and only moderate levels of tariff exemption.\n\nAbsent a coordinated and forward-looking policy response, the Philippines and its\nASEAN neighbors risk becoming passive bystanders in an increasingly fragmented trade landscape. However, with strategic alignment of trade and industrial policy, the deployment of robust trade defense tools, and deeper ASEAN collaboration, these economies can reframe the current disruption as a platform to reposition themselves as high-trust, tariff-resilient production hubs in the new global trading order.","note":"DOI: 10.62986/dp2025.06","publisher":"Philippine Institute for Development Studies","source":"DOI.org (Crossref)","title":"Navigating a New Era of Reciprocal Tariffs: Strategic Implications for the Philippines and Selected ASEAN Economies","title-short":"Navigating a New Era of Reciprocal Tariffs","URL":"https://pids.gov.ph/publication/discussion-papers/navigating-a-new-era-of-reciprocal-tariffs-strategic-implications-for-the-philippines-and-selected-asean-economies","author":[{"family":"Aldaba","given":"Rafaelita"}],"accessed":{"date-parts":[["2025",9,22]]},"issued":{"date-parts":[["2025",4,22]]}}}],"schema":"https://github.com/citation-style-language/schema/raw/master/csl-citation.json"} </w:instrText>
      </w:r>
      <w:r w:rsidRPr="00AE4A6C">
        <w:rPr>
          <w:rFonts w:ascii="Garamond" w:hAnsi="Garamond"/>
          <w:i/>
          <w:iCs/>
          <w:color w:val="4F81BD" w:themeColor="accent1"/>
        </w:rPr>
        <w:fldChar w:fldCharType="separate"/>
      </w:r>
      <w:r w:rsidRPr="00AE4A6C">
        <w:rPr>
          <w:rFonts w:ascii="Garamond" w:hAnsi="Garamond"/>
          <w:i/>
          <w:iCs/>
          <w:color w:val="4F81BD" w:themeColor="accent1"/>
        </w:rPr>
        <w:t>(Aldaba, 2025)</w:t>
      </w:r>
      <w:r w:rsidRPr="00AE4A6C">
        <w:rPr>
          <w:rFonts w:ascii="Garamond" w:hAnsi="Garamond"/>
          <w:i/>
          <w:iCs/>
          <w:color w:val="4F81BD" w:themeColor="accent1"/>
        </w:rPr>
        <w:fldChar w:fldCharType="end"/>
      </w:r>
    </w:p>
    <w:p w14:paraId="7AD11997" w14:textId="77777777" w:rsidR="00AE4A6C" w:rsidRDefault="00AE4A6C" w:rsidP="00C437DD">
      <w:pPr>
        <w:ind w:firstLine="720"/>
        <w:contextualSpacing/>
        <w:jc w:val="both"/>
        <w:rPr>
          <w:rFonts w:ascii="Garamond" w:hAnsi="Garamond"/>
          <w:lang w:bidi="en-US"/>
        </w:rPr>
      </w:pPr>
    </w:p>
    <w:p w14:paraId="09289A32" w14:textId="14877D0C" w:rsidR="00233856" w:rsidRDefault="00C259CC" w:rsidP="00AE4A6C">
      <w:pPr>
        <w:ind w:firstLine="720"/>
        <w:contextualSpacing/>
        <w:jc w:val="both"/>
        <w:rPr>
          <w:rFonts w:ascii="Garamond" w:hAnsi="Garamond"/>
          <w:lang w:bidi="en-US"/>
        </w:rPr>
      </w:pPr>
      <w:r w:rsidRPr="00C259CC">
        <w:rPr>
          <w:rFonts w:ascii="Garamond" w:hAnsi="Garamond"/>
          <w:lang w:bidi="en-US"/>
        </w:rPr>
        <w:t>The 2025 reciprocal tariffs extend this logic to a broader set of trading partners</w:t>
      </w:r>
      <w:r w:rsidR="00080CDA">
        <w:rPr>
          <w:rFonts w:ascii="Garamond" w:hAnsi="Garamond"/>
          <w:lang w:bidi="en-US"/>
        </w:rPr>
        <w:t xml:space="preserve"> more than 60 countries, including</w:t>
      </w:r>
      <w:r w:rsidR="00244970">
        <w:rPr>
          <w:rFonts w:ascii="Garamond" w:hAnsi="Garamond"/>
          <w:lang w:bidi="en-US"/>
        </w:rPr>
        <w:t xml:space="preserve"> ASEAN countries</w:t>
      </w:r>
      <w:r w:rsidRPr="00C259CC">
        <w:rPr>
          <w:rFonts w:ascii="Garamond" w:hAnsi="Garamond"/>
          <w:lang w:bidi="en-US"/>
        </w:rPr>
        <w:t>. Within ASEAN, only Singapore faces the baseline 10 percent tariff, while Vietnam</w:t>
      </w:r>
      <w:r w:rsidR="00233856">
        <w:rPr>
          <w:rFonts w:ascii="Garamond" w:hAnsi="Garamond"/>
          <w:lang w:bidi="en-US"/>
        </w:rPr>
        <w:t xml:space="preserve"> is</w:t>
      </w:r>
      <w:r w:rsidRPr="00C259CC">
        <w:rPr>
          <w:rFonts w:ascii="Garamond" w:hAnsi="Garamond"/>
          <w:lang w:bidi="en-US"/>
        </w:rPr>
        <w:t xml:space="preserve"> subject to much higher rates. Indonesia, Malaysia, Philippine,</w:t>
      </w:r>
      <w:r w:rsidR="00233856">
        <w:rPr>
          <w:rFonts w:ascii="Garamond" w:hAnsi="Garamond"/>
          <w:lang w:bidi="en-US"/>
        </w:rPr>
        <w:t xml:space="preserve"> and</w:t>
      </w:r>
      <w:r w:rsidRPr="00C259CC">
        <w:rPr>
          <w:rFonts w:ascii="Garamond" w:hAnsi="Garamond"/>
          <w:lang w:bidi="en-US"/>
        </w:rPr>
        <w:t xml:space="preserve"> Thailand</w:t>
      </w:r>
      <w:r w:rsidR="00233856">
        <w:rPr>
          <w:rFonts w:ascii="Garamond" w:hAnsi="Garamond"/>
          <w:lang w:bidi="en-US"/>
        </w:rPr>
        <w:t xml:space="preserve"> </w:t>
      </w:r>
      <w:r w:rsidRPr="00C259CC">
        <w:rPr>
          <w:rFonts w:ascii="Garamond" w:hAnsi="Garamond"/>
          <w:lang w:bidi="en-US"/>
        </w:rPr>
        <w:t>relatively lower but still non</w:t>
      </w:r>
      <w:r w:rsidRPr="00C259CC">
        <w:rPr>
          <w:rFonts w:ascii="Garamond" w:hAnsi="Garamond"/>
          <w:lang w:bidi="en-US"/>
        </w:rPr>
        <w:noBreakHyphen/>
        <w:t>trivial tariff levels. The variation in tariff intensity is closely related to each country’s bilateral trade balance with the U.S. and its previous tariff stance toward American products. As a result, the new tariff structure simultaneously creates threats and opportunities: highly taxed countries such as Vietnam risk losing their manufacturing advantage, while lower</w:t>
      </w:r>
      <w:r w:rsidRPr="00C259CC">
        <w:rPr>
          <w:rFonts w:ascii="Garamond" w:hAnsi="Garamond"/>
          <w:lang w:bidi="en-US"/>
        </w:rPr>
        <w:noBreakHyphen/>
        <w:t>tariff countries may attract trade and investment diversion.</w:t>
      </w:r>
      <w:r w:rsidR="00C437DD">
        <w:rPr>
          <w:rFonts w:ascii="Garamond" w:hAnsi="Garamond"/>
          <w:lang w:bidi="en-US"/>
        </w:rPr>
        <w:t xml:space="preserve"> </w:t>
      </w:r>
      <w:r w:rsidR="00C437DD" w:rsidRPr="00C437DD">
        <w:rPr>
          <w:rFonts w:ascii="Garamond" w:hAnsi="Garamond"/>
          <w:lang w:bidi="en-US"/>
        </w:rPr>
        <w:t>Empirical studies on that earlier episode document sharp and often asymmetric abnormal returns in many equity markets following tariff announcements, with trade</w:t>
      </w:r>
      <w:r w:rsidR="00C437DD" w:rsidRPr="00C437DD">
        <w:rPr>
          <w:rFonts w:ascii="Cambria Math" w:hAnsi="Cambria Math" w:cs="Cambria Math"/>
          <w:lang w:bidi="en-US"/>
        </w:rPr>
        <w:t>‑</w:t>
      </w:r>
      <w:r w:rsidR="00C437DD" w:rsidRPr="00C437DD">
        <w:rPr>
          <w:rFonts w:ascii="Garamond" w:hAnsi="Garamond"/>
          <w:lang w:bidi="en-US"/>
        </w:rPr>
        <w:t>deficit countries showing muted or mixed reactions and trade</w:t>
      </w:r>
      <w:r w:rsidR="00C437DD" w:rsidRPr="00C437DD">
        <w:rPr>
          <w:rFonts w:ascii="Cambria Math" w:hAnsi="Cambria Math" w:cs="Cambria Math"/>
          <w:lang w:bidi="en-US"/>
        </w:rPr>
        <w:t>‑</w:t>
      </w:r>
      <w:r w:rsidR="00C437DD" w:rsidRPr="00C437DD">
        <w:rPr>
          <w:rFonts w:ascii="Garamond" w:hAnsi="Garamond"/>
          <w:lang w:bidi="en-US"/>
        </w:rPr>
        <w:t>surplus countries experiencing significant cumulative abnormal returns</w:t>
      </w:r>
      <w:r w:rsidR="00C437DD" w:rsidRPr="00C437DD">
        <w:rPr>
          <w:rFonts w:ascii="Garamond" w:hAnsi="Garamond"/>
          <w:color w:val="4F81BD" w:themeColor="accent1"/>
          <w:lang w:bidi="en-US"/>
        </w:rPr>
        <w:t xml:space="preserve"> </w:t>
      </w:r>
      <w:r w:rsidR="00C437DD" w:rsidRPr="00C437DD">
        <w:rPr>
          <w:rFonts w:ascii="Garamond" w:hAnsi="Garamond"/>
          <w:color w:val="4F81BD" w:themeColor="accent1"/>
          <w:lang w:bidi="en-US"/>
        </w:rPr>
        <w:fldChar w:fldCharType="begin"/>
      </w:r>
      <w:r w:rsidR="00C437DD" w:rsidRPr="00C437DD">
        <w:rPr>
          <w:rFonts w:ascii="Garamond" w:hAnsi="Garamond"/>
          <w:color w:val="4F81BD" w:themeColor="accent1"/>
          <w:lang w:bidi="en-US"/>
        </w:rPr>
        <w:instrText xml:space="preserve"> ADDIN ZOTERO_ITEM CSL_CITATION {"citationID":"aeBCKRia","properties":{"formattedCitation":"(Rao et al., 2025)","plainCitation":"(Rao et al., 2025)","noteIndex":0},"citationItems":[{"id":12,"uris":["http://zotero.org/users/local/1Z4MS4c2/items/F7TKM7G3"],"itemData":{"id":12,"type":"article-journal","abstract":"This study examines the financial market response to the U.S. tariff announcement on February 1, 2025, which imposed a 25 % tariff on imports from Mexico and Canada (except energy products at 10 %) and a 10 % tariff on China. The results reveal asymmetric market reactions: trade-deficit countries, which faced direct tariff impositions, exhibited muted and mixed responses, suggesting that investors had already priced in potential trade frictions or expected policy reversals. In contrast, trade-surplus countries experienced significant positive CAARs, reflecting investor optimism about potential trade reallocation benefits.","container-title":"Finance Research Letters","DOI":"10.1016/j.frl.2025.107465","ISSN":"15446123","journalAbbreviation":"Finance Research Letters","language":"en","page":"107465","source":"DOI.org (Crossref)","title":"Financial market reactions to U.S. tariff announcements: Evidence from trade-surplus and trade-deficit countries","title-short":"Financial market reactions to U.S. tariff announcements","volume":"81","author":[{"family":"Rao","given":"Amar"},{"family":"Lucey","given":"Brian"},{"family":"Kumar","given":"Satish"}],"issued":{"date-parts":[["2025",7]]}}}],"schema":"https://github.com/citation-style-language/schema/raw/master/csl-citation.json"} </w:instrText>
      </w:r>
      <w:r w:rsidR="00C437DD" w:rsidRPr="00C437DD">
        <w:rPr>
          <w:rFonts w:ascii="Garamond" w:hAnsi="Garamond"/>
          <w:color w:val="4F81BD" w:themeColor="accent1"/>
          <w:lang w:bidi="en-US"/>
        </w:rPr>
        <w:fldChar w:fldCharType="separate"/>
      </w:r>
      <w:r w:rsidR="00C437DD" w:rsidRPr="00C437DD">
        <w:rPr>
          <w:rFonts w:ascii="Garamond" w:hAnsi="Garamond"/>
          <w:color w:val="4F81BD" w:themeColor="accent1"/>
        </w:rPr>
        <w:t>(Rao et al., 2025)</w:t>
      </w:r>
      <w:r w:rsidR="00C437DD" w:rsidRPr="00C437DD">
        <w:rPr>
          <w:rFonts w:ascii="Garamond" w:hAnsi="Garamond"/>
          <w:color w:val="4F81BD" w:themeColor="accent1"/>
          <w:lang w:bidi="en-US"/>
        </w:rPr>
        <w:fldChar w:fldCharType="end"/>
      </w:r>
      <w:r w:rsidR="00C437DD" w:rsidRPr="00C437DD">
        <w:rPr>
          <w:rFonts w:ascii="Garamond" w:hAnsi="Garamond"/>
          <w:lang w:bidi="en-US"/>
        </w:rPr>
        <w:t>.</w:t>
      </w:r>
    </w:p>
    <w:p w14:paraId="40BBC374" w14:textId="5260765F" w:rsidR="00864D0E" w:rsidRDefault="00080CDA" w:rsidP="008A09A5">
      <w:pPr>
        <w:ind w:firstLine="720"/>
        <w:contextualSpacing/>
        <w:jc w:val="center"/>
        <w:rPr>
          <w:rFonts w:ascii="Garamond" w:hAnsi="Garamond"/>
          <w:lang w:bidi="en-US"/>
        </w:rPr>
      </w:pPr>
      <w:r>
        <w:rPr>
          <w:noProof/>
        </w:rPr>
        <w:lastRenderedPageBreak/>
        <w:drawing>
          <wp:inline distT="0" distB="0" distL="0" distR="0" wp14:anchorId="59A9F15A" wp14:editId="679CF78A">
            <wp:extent cx="4572000" cy="2743200"/>
            <wp:effectExtent l="0" t="0" r="0" b="0"/>
            <wp:docPr id="962517427" name="Chart 1">
              <a:extLst xmlns:a="http://schemas.openxmlformats.org/drawingml/2006/main">
                <a:ext uri="{FF2B5EF4-FFF2-40B4-BE49-F238E27FC236}">
                  <a16:creationId xmlns:a16="http://schemas.microsoft.com/office/drawing/2014/main" id="{29319F6E-CFD4-362A-152D-61C2ED9F25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9B8E01" w14:textId="023E48D8" w:rsidR="00864D0E" w:rsidRPr="00492D4C" w:rsidRDefault="00864D0E" w:rsidP="00864D0E">
      <w:pPr>
        <w:spacing w:after="160"/>
        <w:contextualSpacing/>
        <w:jc w:val="center"/>
        <w:rPr>
          <w:rFonts w:ascii="Garamond" w:hAnsi="Garamond"/>
          <w:b/>
          <w:bCs/>
        </w:rPr>
      </w:pPr>
      <w:r w:rsidRPr="00492D4C">
        <w:rPr>
          <w:rFonts w:ascii="Garamond" w:hAnsi="Garamond"/>
          <w:b/>
          <w:bCs/>
        </w:rPr>
        <w:t xml:space="preserve">Figure </w:t>
      </w:r>
      <w:r w:rsidR="00247575">
        <w:rPr>
          <w:rFonts w:ascii="Garamond" w:hAnsi="Garamond"/>
          <w:b/>
          <w:bCs/>
        </w:rPr>
        <w:t>I</w:t>
      </w:r>
      <w:r w:rsidRPr="00492D4C">
        <w:rPr>
          <w:rFonts w:ascii="Garamond" w:hAnsi="Garamond"/>
          <w:b/>
          <w:bCs/>
        </w:rPr>
        <w:t xml:space="preserve">. </w:t>
      </w:r>
      <w:r w:rsidR="00233856" w:rsidRPr="00233856">
        <w:rPr>
          <w:rFonts w:ascii="Garamond" w:hAnsi="Garamond"/>
          <w:b/>
          <w:bCs/>
        </w:rPr>
        <w:t>U.S. trade balance with selected ASEAN countries (Indonesia, Malaysia, Singapore, Thailand, Philippines, and Vietnam)</w:t>
      </w:r>
    </w:p>
    <w:p w14:paraId="35A3995A" w14:textId="3ECB0C68" w:rsidR="00864D0E" w:rsidRPr="00492D4C" w:rsidRDefault="00864D0E" w:rsidP="00864D0E">
      <w:pPr>
        <w:spacing w:after="160"/>
        <w:contextualSpacing/>
        <w:rPr>
          <w:rFonts w:ascii="Garamond" w:hAnsi="Garamond"/>
          <w:b/>
          <w:bCs/>
        </w:rPr>
      </w:pPr>
      <w:r w:rsidRPr="0044007A">
        <w:rPr>
          <w:rFonts w:ascii="Garamond" w:hAnsi="Garamond"/>
          <w:i/>
          <w:iCs/>
        </w:rPr>
        <w:t>Source:</w:t>
      </w:r>
      <w:r>
        <w:rPr>
          <w:rFonts w:ascii="Garamond" w:hAnsi="Garamond"/>
          <w:i/>
          <w:iCs/>
        </w:rPr>
        <w:t xml:space="preserve"> United States Census Bureau </w:t>
      </w:r>
    </w:p>
    <w:p w14:paraId="0AC1CB29" w14:textId="77777777" w:rsidR="00864D0E" w:rsidRDefault="00864D0E" w:rsidP="00864D0E">
      <w:pPr>
        <w:contextualSpacing/>
        <w:jc w:val="both"/>
        <w:rPr>
          <w:rFonts w:ascii="Garamond" w:hAnsi="Garamond"/>
          <w:lang w:bidi="en-US"/>
        </w:rPr>
      </w:pPr>
    </w:p>
    <w:p w14:paraId="65EF4C6A" w14:textId="0EB2900D" w:rsidR="00864D0E" w:rsidRDefault="00C437DD" w:rsidP="00233856">
      <w:pPr>
        <w:ind w:firstLine="720"/>
        <w:contextualSpacing/>
        <w:jc w:val="both"/>
        <w:rPr>
          <w:rFonts w:ascii="Garamond" w:hAnsi="Garamond"/>
          <w:lang w:bidi="en-US"/>
        </w:rPr>
      </w:pPr>
      <w:r w:rsidRPr="00C437DD">
        <w:rPr>
          <w:rFonts w:ascii="Garamond" w:hAnsi="Garamond"/>
          <w:lang w:bidi="en-US"/>
        </w:rPr>
        <w:t xml:space="preserve">These trade </w:t>
      </w:r>
      <w:proofErr w:type="spellStart"/>
      <w:r w:rsidRPr="00C437DD">
        <w:rPr>
          <w:rFonts w:ascii="Garamond" w:hAnsi="Garamond"/>
          <w:lang w:bidi="en-US"/>
        </w:rPr>
        <w:t>shocks</w:t>
      </w:r>
      <w:proofErr w:type="spellEnd"/>
      <w:r w:rsidRPr="00C437DD">
        <w:rPr>
          <w:rFonts w:ascii="Garamond" w:hAnsi="Garamond"/>
          <w:lang w:bidi="en-US"/>
        </w:rPr>
        <w:t xml:space="preserve"> are likely to affect macroeconomic conditions</w:t>
      </w:r>
      <w:r w:rsidR="005C6DEA">
        <w:rPr>
          <w:rFonts w:ascii="Garamond" w:hAnsi="Garamond"/>
          <w:lang w:bidi="en-US"/>
        </w:rPr>
        <w:t xml:space="preserve"> </w:t>
      </w:r>
      <w:r w:rsidRPr="00C437DD">
        <w:rPr>
          <w:rFonts w:ascii="Garamond" w:hAnsi="Garamond"/>
          <w:lang w:bidi="en-US"/>
        </w:rPr>
        <w:t>through exports, investment, employment, and exchange rates</w:t>
      </w:r>
      <w:r w:rsidR="005C6DEA">
        <w:rPr>
          <w:rFonts w:ascii="Garamond" w:hAnsi="Garamond"/>
          <w:lang w:bidi="en-US"/>
        </w:rPr>
        <w:t xml:space="preserve"> </w:t>
      </w:r>
      <w:r w:rsidRPr="00C437DD">
        <w:rPr>
          <w:rFonts w:ascii="Garamond" w:hAnsi="Garamond"/>
          <w:lang w:bidi="en-US"/>
        </w:rPr>
        <w:t>and in turn</w:t>
      </w:r>
      <w:r w:rsidR="005C6DEA">
        <w:rPr>
          <w:rFonts w:ascii="Garamond" w:hAnsi="Garamond"/>
          <w:lang w:bidi="en-US"/>
        </w:rPr>
        <w:t xml:space="preserve"> influence</w:t>
      </w:r>
      <w:r w:rsidRPr="00C437DD">
        <w:rPr>
          <w:rFonts w:ascii="Garamond" w:hAnsi="Garamond"/>
          <w:lang w:bidi="en-US"/>
        </w:rPr>
        <w:t xml:space="preserve"> stock markets.</w:t>
      </w:r>
      <w:r w:rsidR="00C259CC" w:rsidRPr="00C259CC">
        <w:rPr>
          <w:rFonts w:ascii="Garamond" w:hAnsi="Garamond"/>
          <w:lang w:bidi="en-US"/>
        </w:rPr>
        <w:t xml:space="preserve"> According to </w:t>
      </w:r>
      <w:r w:rsidRPr="005C6DEA">
        <w:rPr>
          <w:rFonts w:ascii="Garamond" w:hAnsi="Garamond"/>
          <w:color w:val="4F81BD" w:themeColor="accent1"/>
          <w:lang w:bidi="en-US"/>
        </w:rPr>
        <w:fldChar w:fldCharType="begin"/>
      </w:r>
      <w:r w:rsidR="00825C8F">
        <w:rPr>
          <w:rFonts w:ascii="Garamond" w:hAnsi="Garamond"/>
          <w:color w:val="4F81BD" w:themeColor="accent1"/>
          <w:lang w:bidi="en-US"/>
        </w:rPr>
        <w:instrText xml:space="preserve"> ADDIN ZOTERO_ITEM CSL_CITATION {"citationID":"CL4KJUDk","properties":{"formattedCitation":"(Mankiw, 2012)","plainCitation":"(Mankiw, 2012)","dontUpdate":true,"noteIndex":0},"citationItems":[{"id":96,"uris":["http://zotero.org/users/local/1Z4MS4c2/items/UE28W3ZR"],"itemData":{"id":96,"type":"book","edition":"8. ed., international ed","event-place":"New York","ISBN":"978-1-4292-4002-4","language":"eng","number-of-pages":"623","publisher":"Worth Publishers","publisher-place":"New York","source":"K10plus ISBN","title":"Macroeconomics","author":[{"family":"Mankiw","given":"Nicholas Gregory"}],"issued":{"date-parts":[["2012"]]}}}],"schema":"https://github.com/citation-style-language/schema/raw/master/csl-citation.json"} </w:instrText>
      </w:r>
      <w:r w:rsidRPr="005C6DEA">
        <w:rPr>
          <w:rFonts w:ascii="Garamond" w:hAnsi="Garamond"/>
          <w:color w:val="4F81BD" w:themeColor="accent1"/>
          <w:lang w:bidi="en-US"/>
        </w:rPr>
        <w:fldChar w:fldCharType="separate"/>
      </w:r>
      <w:r w:rsidR="005C6DEA" w:rsidRPr="005C6DEA">
        <w:rPr>
          <w:rFonts w:ascii="Garamond" w:hAnsi="Garamond"/>
          <w:color w:val="4F81BD" w:themeColor="accent1"/>
        </w:rPr>
        <w:t xml:space="preserve">Mankiw </w:t>
      </w:r>
      <w:r w:rsidR="00FE6D95">
        <w:rPr>
          <w:rFonts w:ascii="Garamond" w:hAnsi="Garamond"/>
          <w:color w:val="4F81BD" w:themeColor="accent1"/>
        </w:rPr>
        <w:t>(</w:t>
      </w:r>
      <w:r w:rsidR="005C6DEA" w:rsidRPr="005C6DEA">
        <w:rPr>
          <w:rFonts w:ascii="Garamond" w:hAnsi="Garamond"/>
          <w:color w:val="4F81BD" w:themeColor="accent1"/>
        </w:rPr>
        <w:t>2012)</w:t>
      </w:r>
      <w:r w:rsidRPr="005C6DEA">
        <w:rPr>
          <w:rFonts w:ascii="Garamond" w:hAnsi="Garamond"/>
          <w:color w:val="4F81BD" w:themeColor="accent1"/>
          <w:lang w:bidi="en-US"/>
        </w:rPr>
        <w:fldChar w:fldCharType="end"/>
      </w:r>
      <w:r w:rsidR="00C259CC" w:rsidRPr="00C259CC">
        <w:rPr>
          <w:rFonts w:ascii="Garamond" w:hAnsi="Garamond"/>
          <w:lang w:bidi="en-US"/>
        </w:rPr>
        <w:t xml:space="preserve">, stock prices incorporate expectations about future economic performance because investors are willing to pay higher prices when they anticipate strong corporate earnings. Positive expectations tend to generate bullish markets, whereas heightened uncertainty and fears of slower growth trigger bearish reactions. </w:t>
      </w:r>
      <w:r w:rsidR="00864D0E">
        <w:rPr>
          <w:rFonts w:ascii="Garamond" w:hAnsi="Garamond"/>
          <w:lang w:bidi="en-US"/>
        </w:rPr>
        <w:t>E</w:t>
      </w:r>
      <w:r w:rsidR="00864D0E" w:rsidRPr="00864D0E">
        <w:rPr>
          <w:rFonts w:ascii="Garamond" w:hAnsi="Garamond"/>
          <w:lang w:bidi="en-US"/>
        </w:rPr>
        <w:t>xternal policy shocks such as U.S. tariffs can therefore generate significant revaluations of equity indices, especially in sectors and countries that depend heavily on U.S. demand</w:t>
      </w:r>
    </w:p>
    <w:p w14:paraId="1699BDB1" w14:textId="504D74B6" w:rsidR="00C259CC" w:rsidRPr="00864D0E" w:rsidRDefault="00864D0E" w:rsidP="00864D0E">
      <w:pPr>
        <w:ind w:firstLine="720"/>
        <w:contextualSpacing/>
        <w:jc w:val="both"/>
        <w:rPr>
          <w:rFonts w:ascii="Garamond" w:hAnsi="Garamond"/>
          <w:lang w:bidi="en-US"/>
        </w:rPr>
      </w:pPr>
      <w:r w:rsidRPr="00864D0E">
        <w:rPr>
          <w:rFonts w:ascii="Garamond" w:hAnsi="Garamond"/>
          <w:lang w:bidi="en-US"/>
        </w:rPr>
        <w:t>Event study methodology provides an empirical framework to measure such reactions by quantifying abnormal returns, defined as deviations of actual returns from their expected normal levels, around the announcement of new information</w:t>
      </w:r>
      <w:r>
        <w:rPr>
          <w:rFonts w:ascii="Garamond" w:hAnsi="Garamond"/>
          <w:lang w:bidi="en-US"/>
        </w:rPr>
        <w:t xml:space="preserve"> </w:t>
      </w:r>
      <w:r w:rsidRPr="00864D0E">
        <w:rPr>
          <w:rFonts w:ascii="Garamond" w:hAnsi="Garamond"/>
          <w:color w:val="4F81BD" w:themeColor="accent1"/>
          <w:lang w:bidi="en-US"/>
        </w:rPr>
        <w:fldChar w:fldCharType="begin"/>
      </w:r>
      <w:r w:rsidR="00FD6A21">
        <w:rPr>
          <w:rFonts w:ascii="Garamond" w:hAnsi="Garamond"/>
          <w:color w:val="4F81BD" w:themeColor="accent1"/>
          <w:lang w:bidi="en-US"/>
        </w:rPr>
        <w:instrText xml:space="preserve"> ADDIN ZOTERO_ITEM CSL_CITATION {"citationID":"XNiTWBlE","properties":{"formattedCitation":"(Kothari &amp; Warner, 2007)","plainCitation":"(Kothari &amp; Warner, 2007)","noteIndex":0},"citationItems":[{"id":56,"uris":["http://zotero.org/users/local/1Z4MS4c2/items/M6JLFUEN"],"itemData":{"id":56,"type":"chapter","abstract":"The number of published event studies exceeds 500, and the literature continues to grow. We provide an overview of event study methods. Short-horizon methods are quite reliable. While long-horizon methods have improved, serious limitations remain. A challenge is to continue to reﬁne long-horizon methods. We present new evidence illustrating that properties of event study methods can vary by calendar time period and can depend on event sample ﬁrm characteristics such as volatility. This reinforces the importance of using stratiﬁed samples to examine event study statistical properties.","container-title":"Handbook of Empirical Corporate Finance","ISBN":"978-0-444-53265-7","language":"en","license":"https://www.elsevier.com/tdm/userlicense/1.0/","note":"DOI: 10.1016/B978-0-444-53265-7.50015-9","page":"3-36","publisher":"Elsevier","source":"DOI.org (Crossref)","title":"Econometrics of Event Studies","URL":"https://linkinghub.elsevier.com/retrieve/pii/B9780444532657500159","author":[{"family":"Kothari","given":"S.P."},{"family":"Warner","given":"Jerold B."}],"accessed":{"date-parts":[["2025",9,28]]},"issued":{"date-parts":[["2007"]]}}}],"schema":"https://github.com/citation-style-language/schema/raw/master/csl-citation.json"} </w:instrText>
      </w:r>
      <w:r w:rsidRPr="00864D0E">
        <w:rPr>
          <w:rFonts w:ascii="Garamond" w:hAnsi="Garamond"/>
          <w:color w:val="4F81BD" w:themeColor="accent1"/>
          <w:lang w:bidi="en-US"/>
        </w:rPr>
        <w:fldChar w:fldCharType="separate"/>
      </w:r>
      <w:r w:rsidRPr="00864D0E">
        <w:rPr>
          <w:rFonts w:ascii="Garamond" w:hAnsi="Garamond"/>
          <w:color w:val="4F81BD" w:themeColor="accent1"/>
        </w:rPr>
        <w:t>(Kothari &amp; Warner, 2007)</w:t>
      </w:r>
      <w:r w:rsidRPr="00864D0E">
        <w:rPr>
          <w:rFonts w:ascii="Garamond" w:hAnsi="Garamond"/>
          <w:color w:val="4F81BD" w:themeColor="accent1"/>
          <w:lang w:bidi="en-US"/>
        </w:rPr>
        <w:fldChar w:fldCharType="end"/>
      </w:r>
      <w:r>
        <w:rPr>
          <w:rFonts w:ascii="Garamond" w:hAnsi="Garamond"/>
          <w:lang w:bidi="en-US"/>
        </w:rPr>
        <w:t>.</w:t>
      </w:r>
      <w:r w:rsidRPr="00864D0E">
        <w:rPr>
          <w:rFonts w:ascii="Garamond" w:hAnsi="Garamond"/>
          <w:lang w:bidi="en-US"/>
        </w:rPr>
        <w:t xml:space="preserve"> By examining abnormal returns over a short event window, researchers can infer whether an event contains value</w:t>
      </w:r>
      <w:r w:rsidRPr="00864D0E">
        <w:rPr>
          <w:rFonts w:ascii="Garamond" w:hAnsi="Garamond"/>
          <w:lang w:bidi="en-US"/>
        </w:rPr>
        <w:noBreakHyphen/>
        <w:t>relevant information and how quickly markets incorporate that information into prices. Prior work on tariff announcements finds that markets typically register sharp negative abnormal returns on or shortly after announcement dates, followed in some cases by partial reversals when clarifying or de</w:t>
      </w:r>
      <w:r w:rsidRPr="00864D0E">
        <w:rPr>
          <w:rFonts w:ascii="Garamond" w:hAnsi="Garamond"/>
          <w:lang w:bidi="en-US"/>
        </w:rPr>
        <w:noBreakHyphen/>
        <w:t xml:space="preserve">escalating signals are released. Building on this literature, the present study applies an event study approach to </w:t>
      </w:r>
      <w:proofErr w:type="spellStart"/>
      <w:r w:rsidRPr="00864D0E">
        <w:rPr>
          <w:rFonts w:ascii="Garamond" w:hAnsi="Garamond"/>
          <w:lang w:bidi="en-US"/>
        </w:rPr>
        <w:t>analyze</w:t>
      </w:r>
      <w:proofErr w:type="spellEnd"/>
      <w:r w:rsidRPr="00864D0E">
        <w:rPr>
          <w:rFonts w:ascii="Garamond" w:hAnsi="Garamond"/>
          <w:lang w:bidi="en-US"/>
        </w:rPr>
        <w:t xml:space="preserve"> the impact of U.S. reciprocal tariff announcements in 2025 on six major ASEAN stock indices, namely IHSG (Indonesia), STI (Singapore), FTSE KLCI (Malaysia), SET (Thailand), </w:t>
      </w:r>
      <w:proofErr w:type="spellStart"/>
      <w:r w:rsidRPr="00864D0E">
        <w:rPr>
          <w:rFonts w:ascii="Garamond" w:hAnsi="Garamond"/>
          <w:lang w:bidi="en-US"/>
        </w:rPr>
        <w:t>PSEi</w:t>
      </w:r>
      <w:proofErr w:type="spellEnd"/>
      <w:r w:rsidRPr="00864D0E">
        <w:rPr>
          <w:rFonts w:ascii="Garamond" w:hAnsi="Garamond"/>
          <w:lang w:bidi="en-US"/>
        </w:rPr>
        <w:t xml:space="preserve"> (Philippines), and VN Index (Vietnam), by measuring abnormal returns around three key announcement dates to assess how these external shocks are transmitted to regional equity markets.</w:t>
      </w:r>
    </w:p>
    <w:p w14:paraId="59C35315" w14:textId="77777777" w:rsidR="003D3966" w:rsidRPr="00C259CC" w:rsidRDefault="003D3966" w:rsidP="00C259CC">
      <w:pPr>
        <w:rPr>
          <w:rFonts w:ascii="Garamond" w:hAnsi="Garamond"/>
          <w:b/>
          <w:bCs/>
        </w:rPr>
      </w:pPr>
    </w:p>
    <w:p w14:paraId="066FCAA9" w14:textId="20BAD005" w:rsidR="00150B9E" w:rsidRDefault="00EB2A16" w:rsidP="00DC5BC0">
      <w:pPr>
        <w:pStyle w:val="ListParagraph"/>
        <w:numPr>
          <w:ilvl w:val="0"/>
          <w:numId w:val="7"/>
        </w:numPr>
        <w:ind w:left="426" w:hanging="426"/>
        <w:rPr>
          <w:rFonts w:ascii="Garamond" w:hAnsi="Garamond"/>
          <w:b/>
          <w:bCs/>
        </w:rPr>
      </w:pPr>
      <w:r>
        <w:rPr>
          <w:rFonts w:ascii="Garamond" w:hAnsi="Garamond"/>
          <w:b/>
          <w:bCs/>
        </w:rPr>
        <w:t>THEORITICAL BACKGROUNDS</w:t>
      </w:r>
    </w:p>
    <w:p w14:paraId="2B64C2E1" w14:textId="77777777" w:rsidR="00C87CF7" w:rsidRDefault="00C87CF7" w:rsidP="00C87CF7">
      <w:pPr>
        <w:pStyle w:val="ListParagraph"/>
        <w:ind w:left="426"/>
        <w:rPr>
          <w:rFonts w:ascii="Garamond" w:hAnsi="Garamond"/>
          <w:b/>
          <w:bCs/>
        </w:rPr>
      </w:pPr>
    </w:p>
    <w:p w14:paraId="64B8FA79" w14:textId="1E846871" w:rsidR="00EB2A16" w:rsidRDefault="00C87CF7" w:rsidP="00E817A3">
      <w:pPr>
        <w:pStyle w:val="ListParagraph"/>
        <w:numPr>
          <w:ilvl w:val="0"/>
          <w:numId w:val="9"/>
        </w:numPr>
        <w:ind w:left="567" w:hanging="567"/>
        <w:jc w:val="both"/>
        <w:rPr>
          <w:rFonts w:ascii="Garamond" w:hAnsi="Garamond"/>
          <w:b/>
          <w:bCs/>
        </w:rPr>
      </w:pPr>
      <w:r>
        <w:rPr>
          <w:rFonts w:ascii="Garamond" w:hAnsi="Garamond"/>
          <w:b/>
          <w:bCs/>
        </w:rPr>
        <w:t>Efficient Market Hypothesis</w:t>
      </w:r>
    </w:p>
    <w:p w14:paraId="493C5F60" w14:textId="77777777" w:rsidR="00C87CF7" w:rsidRPr="00C87CF7" w:rsidRDefault="00C87CF7" w:rsidP="00C87CF7">
      <w:pPr>
        <w:jc w:val="both"/>
        <w:rPr>
          <w:rFonts w:ascii="Garamond" w:hAnsi="Garamond"/>
          <w:b/>
          <w:bCs/>
        </w:rPr>
      </w:pPr>
    </w:p>
    <w:p w14:paraId="186E387E" w14:textId="32DA20B4" w:rsidR="00C87CF7" w:rsidRDefault="00C87CF7" w:rsidP="00C87CF7">
      <w:pPr>
        <w:ind w:firstLine="720"/>
        <w:jc w:val="both"/>
        <w:rPr>
          <w:rFonts w:ascii="Garamond" w:hAnsi="Garamond"/>
        </w:rPr>
      </w:pPr>
      <w:r w:rsidRPr="00C87CF7">
        <w:rPr>
          <w:rFonts w:ascii="Garamond" w:hAnsi="Garamond"/>
        </w:rPr>
        <w:t>According to</w:t>
      </w:r>
      <w:r>
        <w:rPr>
          <w:rFonts w:ascii="Garamond" w:hAnsi="Garamond"/>
        </w:rPr>
        <w:t xml:space="preserve"> </w:t>
      </w:r>
      <w:r w:rsidRPr="00C87CF7">
        <w:rPr>
          <w:rFonts w:ascii="Garamond" w:hAnsi="Garamond"/>
          <w:color w:val="4F81BD" w:themeColor="accent1"/>
        </w:rPr>
        <w:fldChar w:fldCharType="begin"/>
      </w:r>
      <w:r w:rsidR="00CA7929">
        <w:rPr>
          <w:rFonts w:ascii="Garamond" w:hAnsi="Garamond"/>
          <w:color w:val="4F81BD" w:themeColor="accent1"/>
        </w:rPr>
        <w:instrText xml:space="preserve"> ADDIN ZOTERO_ITEM CSL_CITATION {"citationID":"fp2q6zoJ","properties":{"formattedCitation":"(Fama, 1970)","plainCitation":"(Fama, 1970)","dontUpdate":true,"noteIndex":0},"citationItems":[{"id":16,"uris":["http://zotero.org/users/local/1Z4MS4c2/items/S2DQ45M2"],"itemData":{"id":16,"type":"article-journal","container-title":"The Journal of Finance","DOI":"10.2307/2325486","ISSN":"00221082","issue":"2","journalAbbreviation":"The Journal of Finance","language":"en","page":"383","source":"DOI.org (Crossref)","title":"Efficient Capital Markets: A Review of Theory and Empirical Work","title-short":"Efficient Capital Markets","volume":"25","author":[{"family":"Fama","given":"Eugene F."}],"issued":{"date-parts":[["1970",5]]}}}],"schema":"https://github.com/citation-style-language/schema/raw/master/csl-citation.json"} </w:instrText>
      </w:r>
      <w:r w:rsidRPr="00C87CF7">
        <w:rPr>
          <w:rFonts w:ascii="Garamond" w:hAnsi="Garamond"/>
          <w:color w:val="4F81BD" w:themeColor="accent1"/>
        </w:rPr>
        <w:fldChar w:fldCharType="separate"/>
      </w:r>
      <w:r w:rsidRPr="00C87CF7">
        <w:rPr>
          <w:rFonts w:ascii="Garamond" w:hAnsi="Garamond"/>
          <w:color w:val="4F81BD" w:themeColor="accent1"/>
        </w:rPr>
        <w:t xml:space="preserve">Fama </w:t>
      </w:r>
      <w:r w:rsidR="00FE6D95">
        <w:rPr>
          <w:rFonts w:ascii="Garamond" w:hAnsi="Garamond"/>
          <w:color w:val="4F81BD" w:themeColor="accent1"/>
        </w:rPr>
        <w:t>(</w:t>
      </w:r>
      <w:r w:rsidRPr="00C87CF7">
        <w:rPr>
          <w:rFonts w:ascii="Garamond" w:hAnsi="Garamond"/>
          <w:color w:val="4F81BD" w:themeColor="accent1"/>
        </w:rPr>
        <w:t>1970)</w:t>
      </w:r>
      <w:r w:rsidRPr="00C87CF7">
        <w:rPr>
          <w:rFonts w:ascii="Garamond" w:hAnsi="Garamond"/>
          <w:color w:val="4F81BD" w:themeColor="accent1"/>
        </w:rPr>
        <w:fldChar w:fldCharType="end"/>
      </w:r>
      <w:r>
        <w:rPr>
          <w:rFonts w:ascii="Garamond" w:hAnsi="Garamond"/>
        </w:rPr>
        <w:t xml:space="preserve">, </w:t>
      </w:r>
      <w:r w:rsidRPr="00C87CF7">
        <w:rPr>
          <w:rFonts w:ascii="Garamond" w:hAnsi="Garamond"/>
        </w:rPr>
        <w:t xml:space="preserve">an efficient capital market is one in which security prices at any point in time fully reflect all available information. In such a market, prices adjust rapidly to new information, so that no investor can consistently earn abnormal returns using information that is already known. The key aspect in assessing market efficiency is how quickly and accurately new </w:t>
      </w:r>
      <w:r w:rsidRPr="00C87CF7">
        <w:rPr>
          <w:rFonts w:ascii="Garamond" w:hAnsi="Garamond"/>
        </w:rPr>
        <w:lastRenderedPageBreak/>
        <w:t>information is incorporated into equilibrium prices, which reflects the speed of market adjustment to relevant news.</w:t>
      </w:r>
    </w:p>
    <w:p w14:paraId="3E8F1DAB" w14:textId="358D1678" w:rsidR="00C87CF7" w:rsidRPr="00C53BF8" w:rsidRDefault="00FE6D95" w:rsidP="00C53BF8">
      <w:pPr>
        <w:ind w:firstLine="720"/>
        <w:jc w:val="both"/>
        <w:rPr>
          <w:rFonts w:ascii="Garamond" w:hAnsi="Garamond"/>
        </w:rPr>
      </w:pPr>
      <w:r w:rsidRPr="00FE6D95">
        <w:rPr>
          <w:rFonts w:ascii="Garamond" w:hAnsi="Garamond"/>
        </w:rPr>
        <w:t>Based on the type of information reflected in prices, market efficiency within the Efficient Market Hypothesis (EMH) framework is classified into three main forms: weak, semi</w:t>
      </w:r>
      <w:r w:rsidRPr="00FE6D95">
        <w:rPr>
          <w:rFonts w:ascii="Garamond" w:hAnsi="Garamond"/>
        </w:rPr>
        <w:noBreakHyphen/>
        <w:t>strong, and strong. The weak form of EMH argues that all historical information, including past price and trading volume data, is already fully incorporated into current stock prices, so technical analysis that relies on historical patterns and trends becomes ineffective for earning returns above the market average, a view closely associated with the random walk hypothesis</w:t>
      </w:r>
      <w:r w:rsidR="00C53BF8">
        <w:rPr>
          <w:rFonts w:ascii="Garamond" w:hAnsi="Garamond"/>
        </w:rPr>
        <w:t xml:space="preserve"> </w:t>
      </w:r>
      <w:r w:rsidR="00C53BF8" w:rsidRPr="00C53BF8">
        <w:rPr>
          <w:rFonts w:ascii="Garamond" w:hAnsi="Garamond"/>
          <w:color w:val="4F81BD" w:themeColor="accent1"/>
        </w:rPr>
        <w:fldChar w:fldCharType="begin"/>
      </w:r>
      <w:r w:rsidR="00825C8F">
        <w:rPr>
          <w:rFonts w:ascii="Garamond" w:hAnsi="Garamond"/>
          <w:color w:val="4F81BD" w:themeColor="accent1"/>
        </w:rPr>
        <w:instrText xml:space="preserve"> ADDIN ZOTERO_ITEM CSL_CITATION {"citationID":"rvfDL9oS","properties":{"formattedCitation":"(Malkiel, 1989a; Naseer &amp; Yasir, 2015)","plainCitation":"(Malkiel, 1989a; Naseer &amp; Yasir, 2015)","dontUpdate":true,"noteIndex":0},"citationItems":[{"id":116,"uris":["http://zotero.org/users/local/1Z4MS4c2/items/B7F6H7VP"],"itemData":{"id":116,"type":"chapter","abstract":"A capital market is said to be efficient if it fully and correctly reflects all relevant information in determining security prices. Formally, the market is said to be efficient with respect to some information set, </w:instrText>
      </w:r>
      <w:r w:rsidR="00825C8F">
        <w:rPr>
          <w:rFonts w:ascii="Cambria" w:hAnsi="Cambria" w:cs="Cambria"/>
          <w:color w:val="4F81BD" w:themeColor="accent1"/>
        </w:rPr>
        <w:instrText>ϕ</w:instrText>
      </w:r>
      <w:r w:rsidR="00825C8F">
        <w:rPr>
          <w:rFonts w:ascii="Garamond" w:hAnsi="Garamond"/>
          <w:color w:val="4F81BD" w:themeColor="accent1"/>
        </w:rPr>
        <w:instrText xml:space="preserve">, if security prices would be unaffected by revealing that information to all participants. Moreover, efficiency with respect to an information set, </w:instrText>
      </w:r>
      <w:r w:rsidR="00825C8F">
        <w:rPr>
          <w:rFonts w:ascii="Cambria" w:hAnsi="Cambria" w:cs="Cambria"/>
          <w:color w:val="4F81BD" w:themeColor="accent1"/>
        </w:rPr>
        <w:instrText>ϕ</w:instrText>
      </w:r>
      <w:r w:rsidR="00825C8F">
        <w:rPr>
          <w:rFonts w:ascii="Garamond" w:hAnsi="Garamond"/>
          <w:color w:val="4F81BD" w:themeColor="accent1"/>
        </w:rPr>
        <w:instrText xml:space="preserve">, implies that it is impossible to make economic profits by trading on the basis of </w:instrText>
      </w:r>
      <w:r w:rsidR="00825C8F">
        <w:rPr>
          <w:rFonts w:ascii="Cambria" w:hAnsi="Cambria" w:cs="Cambria"/>
          <w:color w:val="4F81BD" w:themeColor="accent1"/>
        </w:rPr>
        <w:instrText>ϕ</w:instrText>
      </w:r>
      <w:r w:rsidR="00825C8F">
        <w:rPr>
          <w:rFonts w:ascii="Garamond" w:hAnsi="Garamond"/>
          <w:color w:val="4F81BD" w:themeColor="accent1"/>
        </w:rPr>
        <w:instrText xml:space="preserve">.","container-title":"Finance","event-place":"London","ISBN":"978-1-349-20213-3","note":"DOI: 10.1007/978-1-349-20213-3_13","page":"127-134","publisher":"Palgrave Macmillan UK","publisher-place":"London","title":"Efficient Market Hypothesis","URL":"https://doi.org/10.1007/978-1-349-20213-3_13","author":[{"family":"Malkiel","given":"Burton G."}],"editor":[{"family":"Eatwell","given":"John"},{"family":"Milgate","given":"Murray"},{"family":"Newman","given":"Peter"}],"issued":{"date-parts":[["1989"]]}}},{"id":20,"uris":["http://zotero.org/users/local/1Z4MS4c2/items/IEB66YVW"],"itemData":{"id":20,"type":"article-journal","container-title":"The IUP Journal of Financial Risk Management","language":"en","source":"Zotero","title":"The Efficient Market Hypothesis: A Critical Review of the Literature","URL":"https://ssrn.com/abstract=2714844","author":[{"family":"Naseer","given":"Mehwish"},{"family":"Yasir","given":"Dr. Yasir"}],"issued":{"date-parts":[["2015"]]}}}],"schema":"https://github.com/citation-style-language/schema/raw/master/csl-citation.json"} </w:instrText>
      </w:r>
      <w:r w:rsidR="00C53BF8" w:rsidRPr="00C53BF8">
        <w:rPr>
          <w:rFonts w:ascii="Garamond" w:hAnsi="Garamond"/>
          <w:color w:val="4F81BD" w:themeColor="accent1"/>
        </w:rPr>
        <w:fldChar w:fldCharType="separate"/>
      </w:r>
      <w:r w:rsidR="00825C8F" w:rsidRPr="00825C8F">
        <w:rPr>
          <w:rFonts w:ascii="Garamond" w:hAnsi="Garamond"/>
        </w:rPr>
        <w:t>(Malkiel, 1989; Naseer &amp; Yasir, 2015)</w:t>
      </w:r>
      <w:r w:rsidR="00C53BF8" w:rsidRPr="00C53BF8">
        <w:rPr>
          <w:rFonts w:ascii="Garamond" w:hAnsi="Garamond"/>
          <w:color w:val="4F81BD" w:themeColor="accent1"/>
        </w:rPr>
        <w:fldChar w:fldCharType="end"/>
      </w:r>
      <w:r>
        <w:rPr>
          <w:rFonts w:ascii="Garamond" w:hAnsi="Garamond"/>
        </w:rPr>
        <w:t xml:space="preserve">. </w:t>
      </w:r>
      <w:r w:rsidRPr="00FE6D95">
        <w:rPr>
          <w:rFonts w:ascii="Garamond" w:hAnsi="Garamond"/>
        </w:rPr>
        <w:t>The semi</w:t>
      </w:r>
      <w:r w:rsidRPr="00FE6D95">
        <w:rPr>
          <w:rFonts w:ascii="Garamond" w:hAnsi="Garamond"/>
        </w:rPr>
        <w:noBreakHyphen/>
        <w:t>strong form states that security prices adjust rapidly to incorporate not only historical data but also all publicly available information, such as dividend announcements, stock splits, earnings reports, and broader political or economic events, implying that fundamental analysis cannot consistently generate abnormal returns because prices already reflect this public information</w:t>
      </w:r>
      <w:r w:rsidR="00C53BF8">
        <w:rPr>
          <w:rFonts w:ascii="Garamond" w:hAnsi="Garamond"/>
        </w:rPr>
        <w:t xml:space="preserve"> </w:t>
      </w:r>
      <w:r w:rsidR="00C53BF8" w:rsidRPr="00C53BF8">
        <w:rPr>
          <w:rFonts w:ascii="Garamond" w:hAnsi="Garamond"/>
          <w:color w:val="4F81BD" w:themeColor="accent1"/>
        </w:rPr>
        <w:fldChar w:fldCharType="begin"/>
      </w:r>
      <w:r w:rsidR="00825C8F">
        <w:rPr>
          <w:rFonts w:ascii="Garamond" w:hAnsi="Garamond"/>
          <w:color w:val="4F81BD" w:themeColor="accent1"/>
        </w:rPr>
        <w:instrText xml:space="preserve"> ADDIN ZOTERO_ITEM CSL_CITATION {"citationID":"UJUnTU7n","properties":{"formattedCitation":"(Malkiel, 1989a; Naseer &amp; Yasir, 2015)","plainCitation":"(Malkiel, 1989a; Naseer &amp; Yasir, 2015)","dontUpdate":true,"noteIndex":0},"citationItems":[{"id":116,"uris":["http://zotero.org/users/local/1Z4MS4c2/items/B7F6H7VP"],"itemData":{"id":116,"type":"chapter","abstract":"A capital market is said to be efficient if it fully and correctly reflects all relevant information in determining security prices. Formally, the market is said to be efficient with respect to some information set, </w:instrText>
      </w:r>
      <w:r w:rsidR="00825C8F">
        <w:rPr>
          <w:rFonts w:ascii="Cambria" w:hAnsi="Cambria" w:cs="Cambria"/>
          <w:color w:val="4F81BD" w:themeColor="accent1"/>
        </w:rPr>
        <w:instrText>ϕ</w:instrText>
      </w:r>
      <w:r w:rsidR="00825C8F">
        <w:rPr>
          <w:rFonts w:ascii="Garamond" w:hAnsi="Garamond"/>
          <w:color w:val="4F81BD" w:themeColor="accent1"/>
        </w:rPr>
        <w:instrText xml:space="preserve">, if security prices would be unaffected by revealing that information to all participants. Moreover, efficiency with respect to an information set, </w:instrText>
      </w:r>
      <w:r w:rsidR="00825C8F">
        <w:rPr>
          <w:rFonts w:ascii="Cambria" w:hAnsi="Cambria" w:cs="Cambria"/>
          <w:color w:val="4F81BD" w:themeColor="accent1"/>
        </w:rPr>
        <w:instrText>ϕ</w:instrText>
      </w:r>
      <w:r w:rsidR="00825C8F">
        <w:rPr>
          <w:rFonts w:ascii="Garamond" w:hAnsi="Garamond"/>
          <w:color w:val="4F81BD" w:themeColor="accent1"/>
        </w:rPr>
        <w:instrText xml:space="preserve">, implies that it is impossible to make economic profits by trading on the basis of </w:instrText>
      </w:r>
      <w:r w:rsidR="00825C8F">
        <w:rPr>
          <w:rFonts w:ascii="Cambria" w:hAnsi="Cambria" w:cs="Cambria"/>
          <w:color w:val="4F81BD" w:themeColor="accent1"/>
        </w:rPr>
        <w:instrText>ϕ</w:instrText>
      </w:r>
      <w:r w:rsidR="00825C8F">
        <w:rPr>
          <w:rFonts w:ascii="Garamond" w:hAnsi="Garamond"/>
          <w:color w:val="4F81BD" w:themeColor="accent1"/>
        </w:rPr>
        <w:instrText xml:space="preserve">.","container-title":"Finance","event-place":"London","ISBN":"978-1-349-20213-3","note":"DOI: 10.1007/978-1-349-20213-3_13","page":"127-134","publisher":"Palgrave Macmillan UK","publisher-place":"London","title":"Efficient Market Hypothesis","URL":"https://doi.org/10.1007/978-1-349-20213-3_13","author":[{"family":"Malkiel","given":"Burton G."}],"editor":[{"family":"Eatwell","given":"John"},{"family":"Milgate","given":"Murray"},{"family":"Newman","given":"Peter"}],"issued":{"date-parts":[["1989"]]}}},{"id":20,"uris":["http://zotero.org/users/local/1Z4MS4c2/items/IEB66YVW"],"itemData":{"id":20,"type":"article-journal","container-title":"The IUP Journal of Financial Risk Management","language":"en","source":"Zotero","title":"The Efficient Market Hypothesis: A Critical Review of the Literature","URL":"https://ssrn.com/abstract=2714844","author":[{"family":"Naseer","given":"Mehwish"},{"family":"Yasir","given":"Dr. Yasir"}],"issued":{"date-parts":[["2015"]]}}}],"schema":"https://github.com/citation-style-language/schema/raw/master/csl-citation.json"} </w:instrText>
      </w:r>
      <w:r w:rsidR="00C53BF8" w:rsidRPr="00C53BF8">
        <w:rPr>
          <w:rFonts w:ascii="Garamond" w:hAnsi="Garamond"/>
          <w:color w:val="4F81BD" w:themeColor="accent1"/>
        </w:rPr>
        <w:fldChar w:fldCharType="separate"/>
      </w:r>
      <w:r w:rsidR="00825C8F" w:rsidRPr="00825C8F">
        <w:rPr>
          <w:rFonts w:ascii="Garamond" w:hAnsi="Garamond"/>
        </w:rPr>
        <w:t>(Malkiel, 1989; Naseer &amp; Yasir, 2015)</w:t>
      </w:r>
      <w:r w:rsidR="00C53BF8" w:rsidRPr="00C53BF8">
        <w:rPr>
          <w:rFonts w:ascii="Garamond" w:hAnsi="Garamond"/>
          <w:color w:val="4F81BD" w:themeColor="accent1"/>
        </w:rPr>
        <w:fldChar w:fldCharType="end"/>
      </w:r>
      <w:r w:rsidRPr="00FE6D95">
        <w:rPr>
          <w:rFonts w:ascii="Garamond" w:hAnsi="Garamond"/>
        </w:rPr>
        <w:t>. The strong form of EMH holds that prices reflect not only public information but also private or insider information, so even individuals with privileged access to non</w:t>
      </w:r>
      <w:r w:rsidRPr="00FE6D95">
        <w:rPr>
          <w:rFonts w:ascii="Garamond" w:hAnsi="Garamond"/>
        </w:rPr>
        <w:noBreakHyphen/>
        <w:t>public information, such as corporate executives or insiders, cannot systematically outperform the market, which implies a state of near</w:t>
      </w:r>
      <w:r w:rsidRPr="00FE6D95">
        <w:rPr>
          <w:rFonts w:ascii="Garamond" w:hAnsi="Garamond"/>
        </w:rPr>
        <w:noBreakHyphen/>
        <w:t xml:space="preserve">perfect transparency with no information asymmetry and prices acting as a comprehensive aggregator of all available knowledge </w:t>
      </w:r>
      <w:r w:rsidR="00C53BF8" w:rsidRPr="00C53BF8">
        <w:rPr>
          <w:rFonts w:ascii="Garamond" w:hAnsi="Garamond"/>
          <w:color w:val="4F81BD" w:themeColor="accent1"/>
        </w:rPr>
        <w:fldChar w:fldCharType="begin"/>
      </w:r>
      <w:r w:rsidR="00825C8F">
        <w:rPr>
          <w:rFonts w:ascii="Garamond" w:hAnsi="Garamond"/>
          <w:color w:val="4F81BD" w:themeColor="accent1"/>
        </w:rPr>
        <w:instrText xml:space="preserve"> ADDIN ZOTERO_ITEM CSL_CITATION {"citationID":"MNETRbbz","properties":{"formattedCitation":"(Malkiel, 1989; Naseer &amp; Yasir, 2015)","plainCitation":"(Malkiel, 1989; Naseer &amp; Yasir, 2015)","noteIndex":0},"citationItems":[{"id":116,"uris":["http://zotero.org/users/local/1Z4MS4c2/items/B7F6H7VP"],"itemData":{"id":116,"type":"chapter","abstract":"A capital market is said to be efficient if it fully and correctly reflects all relevant information in determining security prices. Formally, the market is said to be efficient with respect to some information set, </w:instrText>
      </w:r>
      <w:r w:rsidR="00825C8F">
        <w:rPr>
          <w:rFonts w:ascii="Cambria" w:hAnsi="Cambria" w:cs="Cambria"/>
          <w:color w:val="4F81BD" w:themeColor="accent1"/>
        </w:rPr>
        <w:instrText>ϕ</w:instrText>
      </w:r>
      <w:r w:rsidR="00825C8F">
        <w:rPr>
          <w:rFonts w:ascii="Garamond" w:hAnsi="Garamond"/>
          <w:color w:val="4F81BD" w:themeColor="accent1"/>
        </w:rPr>
        <w:instrText xml:space="preserve">, if security prices would be unaffected by revealing that information to all participants. Moreover, efficiency with respect to an information set, </w:instrText>
      </w:r>
      <w:r w:rsidR="00825C8F">
        <w:rPr>
          <w:rFonts w:ascii="Cambria" w:hAnsi="Cambria" w:cs="Cambria"/>
          <w:color w:val="4F81BD" w:themeColor="accent1"/>
        </w:rPr>
        <w:instrText>ϕ</w:instrText>
      </w:r>
      <w:r w:rsidR="00825C8F">
        <w:rPr>
          <w:rFonts w:ascii="Garamond" w:hAnsi="Garamond"/>
          <w:color w:val="4F81BD" w:themeColor="accent1"/>
        </w:rPr>
        <w:instrText xml:space="preserve">, implies that it is impossible to make economic profits by trading on the basis of </w:instrText>
      </w:r>
      <w:r w:rsidR="00825C8F">
        <w:rPr>
          <w:rFonts w:ascii="Cambria" w:hAnsi="Cambria" w:cs="Cambria"/>
          <w:color w:val="4F81BD" w:themeColor="accent1"/>
        </w:rPr>
        <w:instrText>ϕ</w:instrText>
      </w:r>
      <w:r w:rsidR="00825C8F">
        <w:rPr>
          <w:rFonts w:ascii="Garamond" w:hAnsi="Garamond"/>
          <w:color w:val="4F81BD" w:themeColor="accent1"/>
        </w:rPr>
        <w:instrText xml:space="preserve">.","container-title":"Finance","event-place":"London","ISBN":"978-1-349-20213-3","note":"DOI: 10.1007/978-1-349-20213-3_13","page":"127-134","publisher":"Palgrave Macmillan UK","publisher-place":"London","title":"Efficient Market Hypothesis","URL":"https://doi.org/10.1007/978-1-349-20213-3_13","author":[{"family":"Malkiel","given":"Burton G."}],"editor":[{"family":"Eatwell","given":"John"},{"family":"Milgate","given":"Murray"},{"family":"Newman","given":"Peter"}],"issued":{"date-parts":[["1989"]]}}},{"id":20,"uris":["http://zotero.org/users/local/1Z4MS4c2/items/IEB66YVW"],"itemData":{"id":20,"type":"article-journal","container-title":"The IUP Journal of Financial Risk Management","language":"en","source":"Zotero","title":"The Efficient Market Hypothesis: A Critical Review of the Literature","URL":"https://ssrn.com/abstract=2714844","author":[{"family":"Naseer","given":"Mehwish"},{"family":"Yasir","given":"Dr. Yasir"}],"issued":{"date-parts":[["2015"]]}}}],"schema":"https://github.com/citation-style-language/schema/raw/master/csl-citation.json"} </w:instrText>
      </w:r>
      <w:r w:rsidR="00C53BF8" w:rsidRPr="00C53BF8">
        <w:rPr>
          <w:rFonts w:ascii="Garamond" w:hAnsi="Garamond"/>
          <w:color w:val="4F81BD" w:themeColor="accent1"/>
        </w:rPr>
        <w:fldChar w:fldCharType="separate"/>
      </w:r>
      <w:r w:rsidR="00825C8F" w:rsidRPr="00825C8F">
        <w:rPr>
          <w:rFonts w:ascii="Garamond" w:hAnsi="Garamond"/>
        </w:rPr>
        <w:t>(Malkiel, 1989; Naseer &amp; Yasir, 2015)</w:t>
      </w:r>
      <w:r w:rsidR="00C53BF8" w:rsidRPr="00C53BF8">
        <w:rPr>
          <w:rFonts w:ascii="Garamond" w:hAnsi="Garamond"/>
          <w:color w:val="4F81BD" w:themeColor="accent1"/>
        </w:rPr>
        <w:fldChar w:fldCharType="end"/>
      </w:r>
      <w:r w:rsidR="00C53BF8" w:rsidRPr="00C53BF8">
        <w:rPr>
          <w:rFonts w:ascii="Garamond" w:hAnsi="Garamond"/>
        </w:rPr>
        <w:t>.</w:t>
      </w:r>
    </w:p>
    <w:p w14:paraId="4EA52C79" w14:textId="77777777" w:rsidR="00FE6D95" w:rsidRDefault="00FE6D95" w:rsidP="00C87CF7">
      <w:pPr>
        <w:pStyle w:val="ListParagraph"/>
        <w:ind w:left="567"/>
        <w:jc w:val="both"/>
        <w:rPr>
          <w:rFonts w:ascii="Garamond" w:hAnsi="Garamond"/>
          <w:b/>
          <w:bCs/>
        </w:rPr>
      </w:pPr>
    </w:p>
    <w:p w14:paraId="416D7BC3" w14:textId="7D384426" w:rsidR="00C87CF7" w:rsidRDefault="00C87CF7" w:rsidP="00C87CF7">
      <w:pPr>
        <w:jc w:val="both"/>
        <w:rPr>
          <w:rFonts w:ascii="Garamond" w:hAnsi="Garamond"/>
          <w:b/>
          <w:bCs/>
        </w:rPr>
      </w:pPr>
      <w:r>
        <w:rPr>
          <w:rFonts w:ascii="Garamond" w:hAnsi="Garamond"/>
          <w:b/>
          <w:bCs/>
        </w:rPr>
        <w:t>2. 2    Event Study</w:t>
      </w:r>
    </w:p>
    <w:p w14:paraId="477F6451" w14:textId="77777777" w:rsidR="00FE6D95" w:rsidRDefault="00FE6D95" w:rsidP="00C87CF7">
      <w:pPr>
        <w:jc w:val="both"/>
        <w:rPr>
          <w:rFonts w:ascii="Garamond" w:hAnsi="Garamond"/>
          <w:b/>
          <w:bCs/>
        </w:rPr>
      </w:pPr>
    </w:p>
    <w:p w14:paraId="7C28381A" w14:textId="6989E181" w:rsidR="007D2DB0" w:rsidRPr="007D2DB0" w:rsidRDefault="00FE6D95" w:rsidP="007D2DB0">
      <w:pPr>
        <w:jc w:val="both"/>
        <w:rPr>
          <w:rFonts w:ascii="Garamond" w:hAnsi="Garamond"/>
        </w:rPr>
      </w:pPr>
      <w:r>
        <w:rPr>
          <w:rFonts w:ascii="Garamond" w:hAnsi="Garamond"/>
          <w:b/>
          <w:bCs/>
        </w:rPr>
        <w:tab/>
      </w:r>
      <w:r w:rsidR="007D2DB0" w:rsidRPr="007D2DB0">
        <w:rPr>
          <w:rFonts w:ascii="Garamond" w:hAnsi="Garamond"/>
        </w:rPr>
        <w:t>According to</w:t>
      </w:r>
      <w:r w:rsidR="007D2DB0">
        <w:rPr>
          <w:rFonts w:ascii="Garamond" w:hAnsi="Garamond"/>
        </w:rPr>
        <w:t xml:space="preserve"> </w:t>
      </w:r>
      <w:r w:rsidR="007D2DB0" w:rsidRPr="007D2DB0">
        <w:rPr>
          <w:rFonts w:ascii="Garamond" w:hAnsi="Garamond"/>
          <w:color w:val="4F81BD" w:themeColor="accent1"/>
        </w:rPr>
        <w:fldChar w:fldCharType="begin"/>
      </w:r>
      <w:r w:rsidR="00FD6A21">
        <w:rPr>
          <w:rFonts w:ascii="Garamond" w:hAnsi="Garamond"/>
          <w:color w:val="4F81BD" w:themeColor="accent1"/>
        </w:rPr>
        <w:instrText xml:space="preserve"> ADDIN ZOTERO_ITEM CSL_CITATION {"citationID":"SzrHRUuL","properties":{"formattedCitation":"(MacKinlay, 1997)","plainCitation":"(MacKinlay, 1997)","dontUpdate":true,"noteIndex":0},"citationItems":[{"id":22,"uris":["http://zotero.org/users/local/1Z4MS4c2/items/8CVXZMR9"],"itemData":{"id":22,"type":"article-journal","container-title":"Journal of Economic Literature","DOI":"http://www.jstor.org/stable/2729691","issue":"1","language":"en","page":"13-39","source":"Zotero","title":"Event Studies in Economics and Finance","volume":"35","author":[{"family":"MacKinlay","given":"A. Craig"}],"issued":{"date-parts":[["1997"]]}}}],"schema":"https://github.com/citation-style-language/schema/raw/master/csl-citation.json"} </w:instrText>
      </w:r>
      <w:r w:rsidR="007D2DB0" w:rsidRPr="007D2DB0">
        <w:rPr>
          <w:rFonts w:ascii="Garamond" w:hAnsi="Garamond"/>
          <w:color w:val="4F81BD" w:themeColor="accent1"/>
        </w:rPr>
        <w:fldChar w:fldCharType="separate"/>
      </w:r>
      <w:r w:rsidR="007D2DB0" w:rsidRPr="007D2DB0">
        <w:rPr>
          <w:rFonts w:ascii="Garamond" w:hAnsi="Garamond"/>
          <w:color w:val="4F81BD" w:themeColor="accent1"/>
        </w:rPr>
        <w:t>MacKinlay (1997)</w:t>
      </w:r>
      <w:r w:rsidR="007D2DB0" w:rsidRPr="007D2DB0">
        <w:rPr>
          <w:rFonts w:ascii="Garamond" w:hAnsi="Garamond"/>
          <w:color w:val="4F81BD" w:themeColor="accent1"/>
        </w:rPr>
        <w:fldChar w:fldCharType="end"/>
      </w:r>
      <w:r w:rsidR="007D2DB0" w:rsidRPr="007D2DB0">
        <w:rPr>
          <w:rFonts w:ascii="Garamond" w:hAnsi="Garamond"/>
        </w:rPr>
        <w:t>, the event study methodology allows researchers to measure the impact of a specific event on the value or performance of a firm by examining price reactions around the event date. Event studies start from the assumption that markets behave rationally, so the financial impact of events such as corporate actions or macroeconomic policy changes is quickly incorporated into asset prices, which makes it possible to observe abnormal returns in a narrow window around the event. Compared with traditional performance measures that often require long observation periods, the event study approach is relatively efficient because it captures the market’s immediate reaction.</w:t>
      </w:r>
    </w:p>
    <w:p w14:paraId="2DFD31E3" w14:textId="7892C4E6" w:rsidR="007D2DB0" w:rsidRPr="007D2DB0" w:rsidRDefault="007D2DB0" w:rsidP="007D2DB0">
      <w:pPr>
        <w:jc w:val="both"/>
        <w:rPr>
          <w:rFonts w:ascii="Garamond" w:hAnsi="Garamond"/>
        </w:rPr>
      </w:pPr>
      <w:r w:rsidRPr="007D2DB0">
        <w:rPr>
          <w:rFonts w:ascii="Garamond" w:hAnsi="Garamond"/>
          <w:color w:val="4F81BD" w:themeColor="accent1"/>
        </w:rPr>
        <w:fldChar w:fldCharType="begin"/>
      </w:r>
      <w:r w:rsidR="00FD6A21">
        <w:rPr>
          <w:rFonts w:ascii="Garamond" w:hAnsi="Garamond"/>
          <w:color w:val="4F81BD" w:themeColor="accent1"/>
        </w:rPr>
        <w:instrText xml:space="preserve"> ADDIN ZOTERO_ITEM CSL_CITATION {"citationID":"9p5DeGT7","properties":{"formattedCitation":"(MacKinlay, 1997)","plainCitation":"(MacKinlay, 1997)","dontUpdate":true,"noteIndex":0},"citationItems":[{"id":22,"uris":["http://zotero.org/users/local/1Z4MS4c2/items/8CVXZMR9"],"itemData":{"id":22,"type":"article-journal","container-title":"Journal of Economic Literature","DOI":"http://www.jstor.org/stable/2729691","issue":"1","language":"en","page":"13-39","source":"Zotero","title":"Event Studies in Economics and Finance","volume":"35","author":[{"family":"MacKinlay","given":"A. Craig"}],"issued":{"date-parts":[["1997"]]}}}],"schema":"https://github.com/citation-style-language/schema/raw/master/csl-citation.json"} </w:instrText>
      </w:r>
      <w:r w:rsidRPr="007D2DB0">
        <w:rPr>
          <w:rFonts w:ascii="Garamond" w:hAnsi="Garamond"/>
          <w:color w:val="4F81BD" w:themeColor="accent1"/>
        </w:rPr>
        <w:fldChar w:fldCharType="separate"/>
      </w:r>
      <w:r w:rsidRPr="007D2DB0">
        <w:rPr>
          <w:rFonts w:ascii="Garamond" w:hAnsi="Garamond"/>
          <w:color w:val="4F81BD" w:themeColor="accent1"/>
        </w:rPr>
        <w:t>MacKinlay (1997)</w:t>
      </w:r>
      <w:r w:rsidRPr="007D2DB0">
        <w:rPr>
          <w:rFonts w:ascii="Garamond" w:hAnsi="Garamond"/>
          <w:color w:val="4F81BD" w:themeColor="accent1"/>
        </w:rPr>
        <w:fldChar w:fldCharType="end"/>
      </w:r>
      <w:r w:rsidRPr="007D2DB0">
        <w:rPr>
          <w:rFonts w:ascii="Garamond" w:hAnsi="Garamond"/>
        </w:rPr>
        <w:t xml:space="preserve"> notes that the use of event studies is very broad, extending beyond finance and accounting into areas such as law and economics, including applications to mergers and acquisitions, earnings announcements, regulatory changes, and macroeconomic policy shifts. The methodology is flexible and can be adapted to various types of securities, including debt instruments, although common stocks remain the most frequently </w:t>
      </w:r>
      <w:proofErr w:type="spellStart"/>
      <w:r w:rsidRPr="007D2DB0">
        <w:rPr>
          <w:rFonts w:ascii="Garamond" w:hAnsi="Garamond"/>
        </w:rPr>
        <w:t>analyzed</w:t>
      </w:r>
      <w:proofErr w:type="spellEnd"/>
      <w:r w:rsidRPr="007D2DB0">
        <w:rPr>
          <w:rFonts w:ascii="Garamond" w:hAnsi="Garamond"/>
        </w:rPr>
        <w:t xml:space="preserve"> assets. This framework is closely linked to the concept of an efficient market, in which current stock prices already reflect all available information and the key characteristic of efficiency is the speed with which new information is absorbed and manifested in price changes that establish a new equilibrium.</w:t>
      </w:r>
    </w:p>
    <w:p w14:paraId="2D5EFEB9" w14:textId="77777777" w:rsidR="00C87CF7" w:rsidRDefault="00C87CF7" w:rsidP="00C87CF7">
      <w:pPr>
        <w:jc w:val="both"/>
        <w:rPr>
          <w:rFonts w:ascii="Garamond" w:hAnsi="Garamond"/>
          <w:b/>
          <w:bCs/>
        </w:rPr>
      </w:pPr>
    </w:p>
    <w:p w14:paraId="7BB9AF2F" w14:textId="35C7B62A" w:rsidR="00C87CF7" w:rsidRDefault="00C87CF7" w:rsidP="00C87CF7">
      <w:pPr>
        <w:jc w:val="both"/>
        <w:rPr>
          <w:rFonts w:ascii="Garamond" w:hAnsi="Garamond"/>
          <w:b/>
          <w:bCs/>
        </w:rPr>
      </w:pPr>
      <w:r>
        <w:rPr>
          <w:rFonts w:ascii="Garamond" w:hAnsi="Garamond"/>
          <w:b/>
          <w:bCs/>
        </w:rPr>
        <w:t>2. 3    Abnormal Return</w:t>
      </w:r>
    </w:p>
    <w:p w14:paraId="2021A16F" w14:textId="77777777" w:rsidR="00A30D42" w:rsidRDefault="00A30D42" w:rsidP="00C87CF7">
      <w:pPr>
        <w:jc w:val="both"/>
        <w:rPr>
          <w:rFonts w:ascii="Garamond" w:hAnsi="Garamond"/>
          <w:b/>
          <w:bCs/>
        </w:rPr>
      </w:pPr>
    </w:p>
    <w:p w14:paraId="016F9D8D" w14:textId="64D665FA" w:rsidR="00DB5B25" w:rsidRDefault="00DB5B25" w:rsidP="00DB5B25">
      <w:pPr>
        <w:ind w:firstLine="720"/>
        <w:jc w:val="both"/>
        <w:rPr>
          <w:rFonts w:ascii="Garamond" w:hAnsi="Garamond"/>
        </w:rPr>
      </w:pPr>
      <w:r w:rsidRPr="00DB5B25">
        <w:rPr>
          <w:rFonts w:ascii="Garamond" w:hAnsi="Garamond"/>
        </w:rPr>
        <w:t xml:space="preserve">Abnormal return is defined as the deviation between the actual return observed around the time of an event announcement and the expected return that would have occurred in the absence of that event; this deviation can be either positive or negative </w:t>
      </w:r>
      <w:r w:rsidRPr="00DB5B25">
        <w:rPr>
          <w:rFonts w:ascii="Garamond" w:hAnsi="Garamond"/>
          <w:color w:val="4F81BD" w:themeColor="accent1"/>
        </w:rPr>
        <w:fldChar w:fldCharType="begin"/>
      </w:r>
      <w:r w:rsidR="00CA7929">
        <w:rPr>
          <w:rFonts w:ascii="Garamond" w:hAnsi="Garamond"/>
          <w:color w:val="4F81BD" w:themeColor="accent1"/>
        </w:rPr>
        <w:instrText xml:space="preserve"> ADDIN ZOTERO_ITEM CSL_CITATION {"citationID":"nXibkywC","properties":{"formattedCitation":"(Prof. Dr. Eduardus Tandelilin, MBA, CWM, CSA, 2017)","plainCitation":"(Prof. Dr. Eduardus Tandelilin, MBA, CWM, CSA, 2017)","dontUpdate":true,"noteIndex":0},"citationItems":[{"id":27,"uris":["http://zotero.org/users/local/1Z4MS4c2/items/A8JR5B3C"],"itemData":{"id":27,"type":"book","event-place":"Yogyakarta","ISBN":"978-979-21-5975-2","language":"Bahasa Indonesia","number-of-pages":"700","publisher":"PT Kanisius","publisher-place":"Yogyakarta","title":"Pasar Modal : Manajemen Portofolio Investasi","author":[{"literal":"Prof. Dr. Eduardus Tandelilin, MBA, CWM, CSA"}],"issued":{"date-parts":[["2017"]]}}}],"schema":"https://github.com/citation-style-language/schema/raw/master/csl-citation.json"} </w:instrText>
      </w:r>
      <w:r w:rsidRPr="00DB5B25">
        <w:rPr>
          <w:rFonts w:ascii="Garamond" w:hAnsi="Garamond"/>
          <w:color w:val="4F81BD" w:themeColor="accent1"/>
        </w:rPr>
        <w:fldChar w:fldCharType="separate"/>
      </w:r>
      <w:r w:rsidRPr="00DB5B25">
        <w:rPr>
          <w:rFonts w:ascii="Garamond" w:hAnsi="Garamond"/>
          <w:color w:val="4F81BD" w:themeColor="accent1"/>
        </w:rPr>
        <w:t>(Tandelilin, 2017)</w:t>
      </w:r>
      <w:r w:rsidRPr="00DB5B25">
        <w:rPr>
          <w:rFonts w:ascii="Garamond" w:hAnsi="Garamond"/>
          <w:color w:val="4F81BD" w:themeColor="accent1"/>
        </w:rPr>
        <w:fldChar w:fldCharType="end"/>
      </w:r>
      <w:r w:rsidRPr="00DB5B25">
        <w:rPr>
          <w:rFonts w:ascii="Garamond" w:hAnsi="Garamond"/>
        </w:rPr>
        <w:t xml:space="preserve">. In normal conditions, when there is no significant new information, actual returns tend not to differ meaningfully from expected returns, so abnormal returns are generally small. However, when new information is released that is believed to affect a firm’s future cash flows, the market reacts and this reaction is reflected in the difference between actual and expected returns, creating abnormal returns </w:t>
      </w:r>
    </w:p>
    <w:p w14:paraId="01B029CE" w14:textId="655AF21C" w:rsidR="00E76BC4" w:rsidRDefault="00DB5B25" w:rsidP="00DB5B25">
      <w:pPr>
        <w:ind w:firstLine="720"/>
        <w:jc w:val="both"/>
        <w:rPr>
          <w:rFonts w:ascii="Garamond" w:hAnsi="Garamond"/>
        </w:rPr>
      </w:pPr>
      <w:r w:rsidRPr="00DB5B25">
        <w:rPr>
          <w:rFonts w:ascii="Garamond" w:hAnsi="Garamond"/>
        </w:rPr>
        <w:t>In this context, abnormal return calculation requires two main components, namely actual return and expected return</w:t>
      </w:r>
      <w:r w:rsidR="00CA7929">
        <w:rPr>
          <w:rFonts w:ascii="Garamond" w:hAnsi="Garamond"/>
        </w:rPr>
        <w:t xml:space="preserve"> </w:t>
      </w:r>
      <w:r w:rsidR="00CA7929" w:rsidRPr="00CA7929">
        <w:rPr>
          <w:rFonts w:ascii="Garamond" w:hAnsi="Garamond"/>
          <w:color w:val="4F81BD" w:themeColor="accent1"/>
        </w:rPr>
        <w:fldChar w:fldCharType="begin"/>
      </w:r>
      <w:r w:rsidR="00825C8F">
        <w:rPr>
          <w:rFonts w:ascii="Garamond" w:hAnsi="Garamond"/>
          <w:color w:val="4F81BD" w:themeColor="accent1"/>
        </w:rPr>
        <w:instrText xml:space="preserve"> ADDIN ZOTERO_ITEM CSL_CITATION {"citationID":"cI1o9Q3j","properties":{"formattedCitation":"(T. Renald Suganda, 2018)","plainCitation":"(T. Renald Suganda, 2018)","dontUpdate":true,"noteIndex":0},"citationItems":[{"id":28,"uris":["http://zotero.org/users/local/1Z4MS4c2/items/KMILD3GP"],"itemData":{"id":28,"type":"book","edition":"Pertama","event-place":"Malang","ISBN":"978-602-52194-3-6","language":"Bahasa Indonesia","number-of-pages":"167","publisher":"CV. Seribu Bintang","publisher-place":"Malang","title":"Event Study Teori dan Pembahasan Reaksi Pasar Modal Indonesia","author":[{"literal":"T. Renald Suganda"}],"issued":{"date-parts":[["2018"]]}}}],"schema":"https://github.com/citation-style-language/schema/raw/master/csl-citation.json"} </w:instrText>
      </w:r>
      <w:r w:rsidR="00CA7929" w:rsidRPr="00CA7929">
        <w:rPr>
          <w:rFonts w:ascii="Garamond" w:hAnsi="Garamond"/>
          <w:color w:val="4F81BD" w:themeColor="accent1"/>
        </w:rPr>
        <w:fldChar w:fldCharType="separate"/>
      </w:r>
      <w:r w:rsidR="00CA7929" w:rsidRPr="00CA7929">
        <w:rPr>
          <w:rFonts w:ascii="Garamond" w:hAnsi="Garamond"/>
          <w:color w:val="4F81BD" w:themeColor="accent1"/>
        </w:rPr>
        <w:t>(Suganda, 2018)</w:t>
      </w:r>
      <w:r w:rsidR="00CA7929" w:rsidRPr="00CA7929">
        <w:rPr>
          <w:rFonts w:ascii="Garamond" w:hAnsi="Garamond"/>
          <w:color w:val="4F81BD" w:themeColor="accent1"/>
        </w:rPr>
        <w:fldChar w:fldCharType="end"/>
      </w:r>
      <w:r w:rsidR="00CA7929">
        <w:rPr>
          <w:rFonts w:ascii="Garamond" w:hAnsi="Garamond"/>
        </w:rPr>
        <w:t xml:space="preserve">. </w:t>
      </w:r>
      <w:r w:rsidRPr="00DB5B25">
        <w:rPr>
          <w:rFonts w:ascii="Garamond" w:hAnsi="Garamond"/>
        </w:rPr>
        <w:t xml:space="preserve">Actual return is the return that actually occurs at time </w:t>
      </w:r>
      <w:r w:rsidRPr="00DB5B25">
        <w:rPr>
          <w:rFonts w:ascii="Garamond" w:hAnsi="Garamond"/>
        </w:rPr>
        <w:lastRenderedPageBreak/>
        <w:t>t, typically measured as the percentage change in price from the previous period to the current period</w:t>
      </w:r>
      <w:r w:rsidR="00661232">
        <w:rPr>
          <w:rFonts w:ascii="Garamond" w:hAnsi="Garamond"/>
        </w:rPr>
        <w:t xml:space="preserve"> </w:t>
      </w:r>
      <w:r w:rsidR="00661232" w:rsidRPr="00661232">
        <w:rPr>
          <w:rFonts w:ascii="Garamond" w:hAnsi="Garamond"/>
          <w:color w:val="4F81BD" w:themeColor="accent1"/>
        </w:rPr>
        <w:fldChar w:fldCharType="begin"/>
      </w:r>
      <w:r w:rsidR="00661232" w:rsidRPr="00661232">
        <w:rPr>
          <w:rFonts w:ascii="Garamond" w:hAnsi="Garamond"/>
          <w:color w:val="4F81BD" w:themeColor="accent1"/>
        </w:rPr>
        <w:instrText xml:space="preserve"> ADDIN ZOTERO_ITEM CSL_CITATION {"citationID":"C6vkqjW9","properties":{"formattedCitation":"(Abdul Halim, 2015)","plainCitation":"(Abdul Halim, 2015)","noteIndex":0},"citationItems":[{"id":115,"uris":["http://zotero.org/users/local/1Z4MS4c2/items/DGR7MPPF"],"itemData":{"id":115,"type":"book","event-place":"Jakarta","ISBN":"978-602-318-041-7","language":"Bahasa Indonesia","number-of-pages":"xiii, 200p","publisher":"Mitra Wacana Media","publisher-place":"Jakarta","title":"Analisis Investasi di Aset Keuangan","author":[{"literal":"Abdul Halim"}],"issued":{"date-parts":[["2015"]]}}}],"schema":"https://github.com/citation-style-language/schema/raw/master/csl-citation.json"} </w:instrText>
      </w:r>
      <w:r w:rsidR="00661232" w:rsidRPr="00661232">
        <w:rPr>
          <w:rFonts w:ascii="Garamond" w:hAnsi="Garamond"/>
          <w:color w:val="4F81BD" w:themeColor="accent1"/>
        </w:rPr>
        <w:fldChar w:fldCharType="separate"/>
      </w:r>
      <w:r w:rsidR="00661232" w:rsidRPr="00661232">
        <w:rPr>
          <w:rFonts w:ascii="Garamond" w:hAnsi="Garamond"/>
          <w:color w:val="4F81BD" w:themeColor="accent1"/>
        </w:rPr>
        <w:t>(Abdul Halim, 2015)</w:t>
      </w:r>
      <w:r w:rsidR="00661232" w:rsidRPr="00661232">
        <w:rPr>
          <w:rFonts w:ascii="Garamond" w:hAnsi="Garamond"/>
          <w:color w:val="4F81BD" w:themeColor="accent1"/>
        </w:rPr>
        <w:fldChar w:fldCharType="end"/>
      </w:r>
      <w:r w:rsidR="00CA7929">
        <w:rPr>
          <w:rFonts w:ascii="Garamond" w:hAnsi="Garamond"/>
        </w:rPr>
        <w:t>.</w:t>
      </w:r>
    </w:p>
    <w:p w14:paraId="38A5486A" w14:textId="77777777" w:rsidR="00E76BC4" w:rsidRDefault="00E76BC4" w:rsidP="00DB5B25">
      <w:pPr>
        <w:ind w:firstLine="720"/>
        <w:jc w:val="both"/>
        <w:rPr>
          <w:rFonts w:ascii="Garamond" w:hAnsi="Garamond"/>
        </w:rPr>
      </w:pPr>
    </w:p>
    <w:p w14:paraId="711AD398" w14:textId="0DFFEB0F" w:rsidR="00E76BC4" w:rsidRPr="007B5219" w:rsidRDefault="007B5219" w:rsidP="00E76BC4">
      <w:pPr>
        <w:ind w:firstLine="720"/>
        <w:jc w:val="both"/>
        <w:rPr>
          <w:rFonts w:ascii="Garamond" w:hAnsi="Garamond"/>
        </w:rPr>
      </w:pPr>
      <m:oMathPara>
        <m:oMathParaPr>
          <m:jc m:val="center"/>
        </m:oMathParaPr>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R</m:t>
                  </m:r>
                </m:e>
                <m:sub>
                  <m:r>
                    <w:rPr>
                      <w:rFonts w:ascii="Cambria Math" w:hAnsi="Cambria Math"/>
                    </w:rPr>
                    <m:t>i,t</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i,t-1</m:t>
                          </m:r>
                        </m:sub>
                      </m:sSub>
                    </m:e>
                  </m:d>
                </m:num>
                <m:den>
                  <m:sSub>
                    <m:sSubPr>
                      <m:ctrlPr>
                        <w:rPr>
                          <w:rFonts w:ascii="Cambria Math" w:hAnsi="Cambria Math"/>
                          <w:i/>
                        </w:rPr>
                      </m:ctrlPr>
                    </m:sSubPr>
                    <m:e>
                      <m:r>
                        <w:rPr>
                          <w:rFonts w:ascii="Cambria Math" w:hAnsi="Cambria Math"/>
                        </w:rPr>
                        <m:t>P</m:t>
                      </m:r>
                    </m:e>
                    <m:sub>
                      <m:r>
                        <w:rPr>
                          <w:rFonts w:ascii="Cambria Math" w:hAnsi="Cambria Math"/>
                        </w:rPr>
                        <m:t>i,t-1</m:t>
                      </m:r>
                    </m:sub>
                  </m:sSub>
                </m:den>
              </m:f>
              <m:r>
                <w:rPr>
                  <w:rFonts w:ascii="Cambria Math" w:hAnsi="Cambria Math"/>
                </w:rPr>
                <m:t>#</m:t>
              </m:r>
              <m:r>
                <m:rPr>
                  <m:nor/>
                </m:rPr>
                <w:rPr>
                  <w:rFonts w:ascii="Cambria Math" w:hAnsi="Cambria Math"/>
                </w:rPr>
                <m:t>(1)</m:t>
              </m:r>
              <m:ctrlPr>
                <w:rPr>
                  <w:rFonts w:ascii="Cambria Math" w:hAnsi="Cambria Math"/>
                </w:rPr>
              </m:ctrlPr>
            </m:e>
          </m:eqArr>
        </m:oMath>
      </m:oMathPara>
    </w:p>
    <w:p w14:paraId="33533614" w14:textId="77777777" w:rsidR="007B5219" w:rsidRPr="007B5219" w:rsidRDefault="007B5219" w:rsidP="00E76BC4">
      <w:pPr>
        <w:ind w:firstLine="720"/>
        <w:jc w:val="both"/>
        <w:rPr>
          <w:rFonts w:ascii="Garamond" w:hAnsi="Garamond"/>
        </w:rPr>
      </w:pPr>
    </w:p>
    <w:p w14:paraId="031894AD" w14:textId="53F52152" w:rsidR="00DB5B25" w:rsidRDefault="00DB5B25" w:rsidP="00DB5B25">
      <w:pPr>
        <w:ind w:firstLine="720"/>
        <w:jc w:val="both"/>
        <w:rPr>
          <w:rFonts w:ascii="Garamond" w:hAnsi="Garamond"/>
        </w:rPr>
      </w:pPr>
      <w:r w:rsidRPr="00DB5B25">
        <w:rPr>
          <w:rFonts w:ascii="Garamond" w:hAnsi="Garamond"/>
        </w:rPr>
        <w:t xml:space="preserve"> Expected return is the return that investors would normally anticipate in the absence of a specific event; one common way to estimate it is the mean</w:t>
      </w:r>
      <w:r w:rsidRPr="00DB5B25">
        <w:rPr>
          <w:rFonts w:ascii="Garamond" w:hAnsi="Garamond"/>
        </w:rPr>
        <w:noBreakHyphen/>
        <w:t>adjusted returns model, which uses the average historical return over an estimation window as a proxy for normal performance</w:t>
      </w:r>
      <w:r w:rsidR="00CA7929">
        <w:rPr>
          <w:rFonts w:ascii="Garamond" w:hAnsi="Garamond"/>
        </w:rPr>
        <w:t xml:space="preserve"> </w:t>
      </w:r>
      <w:r w:rsidR="00661232" w:rsidRPr="00661232">
        <w:rPr>
          <w:rFonts w:ascii="Garamond" w:hAnsi="Garamond"/>
          <w:color w:val="4F81BD" w:themeColor="accent1"/>
        </w:rPr>
        <w:fldChar w:fldCharType="begin"/>
      </w:r>
      <w:r w:rsidR="00661232" w:rsidRPr="00661232">
        <w:rPr>
          <w:rFonts w:ascii="Garamond" w:hAnsi="Garamond"/>
          <w:color w:val="4F81BD" w:themeColor="accent1"/>
        </w:rPr>
        <w:instrText xml:space="preserve"> ADDIN ZOTERO_ITEM CSL_CITATION {"citationID":"lpEGTpCY","properties":{"formattedCitation":"(Brown &amp; Warner, 1980)","plainCitation":"(Brown &amp; Warner, 1980)","noteIndex":0},"citationItems":[{"id":114,"uris":["http://zotero.org/users/local/1Z4MS4c2/items/KVGUS6Z9"],"itemData":{"id":114,"type":"article-journal","container-title":"Journal of Financial Economics","DOI":"10.1016/0304-405X(80)90002-1","ISSN":"0304405X","issue":"3","journalAbbreviation":"Journal of Financial Economics","language":"en","license":"https://www.elsevier.com/tdm/userlicense/1.0/","page":"205-258","source":"DOI.org (Crossref)","title":"Measuring security price performance","volume":"8","author":[{"family":"Brown","given":"Stephen J."},{"family":"Warner","given":"Jerold B."}],"issued":{"date-parts":[["1980",9]]}}}],"schema":"https://github.com/citation-style-language/schema/raw/master/csl-citation.json"} </w:instrText>
      </w:r>
      <w:r w:rsidR="00661232" w:rsidRPr="00661232">
        <w:rPr>
          <w:rFonts w:ascii="Garamond" w:hAnsi="Garamond"/>
          <w:color w:val="4F81BD" w:themeColor="accent1"/>
        </w:rPr>
        <w:fldChar w:fldCharType="separate"/>
      </w:r>
      <w:r w:rsidR="00661232" w:rsidRPr="00661232">
        <w:rPr>
          <w:rFonts w:ascii="Garamond" w:hAnsi="Garamond"/>
          <w:color w:val="4F81BD" w:themeColor="accent1"/>
        </w:rPr>
        <w:t>(Brown &amp; Warner, 1980)</w:t>
      </w:r>
      <w:r w:rsidR="00661232" w:rsidRPr="00661232">
        <w:rPr>
          <w:rFonts w:ascii="Garamond" w:hAnsi="Garamond"/>
          <w:color w:val="4F81BD" w:themeColor="accent1"/>
        </w:rPr>
        <w:fldChar w:fldCharType="end"/>
      </w:r>
      <w:r w:rsidR="00661232">
        <w:rPr>
          <w:rFonts w:ascii="Garamond" w:hAnsi="Garamond"/>
        </w:rPr>
        <w:t>.</w:t>
      </w:r>
    </w:p>
    <w:p w14:paraId="7BFCD562" w14:textId="447A78FB" w:rsidR="00E76BC4" w:rsidRPr="007B5219" w:rsidRDefault="007B5219" w:rsidP="00DB5B25">
      <w:pPr>
        <w:ind w:firstLine="720"/>
        <w:jc w:val="both"/>
        <w:rPr>
          <w:rFonts w:ascii="Garamond" w:hAnsi="Garamond"/>
        </w:rPr>
      </w:pPr>
      <m:oMathPara>
        <m:oMathParaPr>
          <m:jc m:val="center"/>
        </m:oMathParaPr>
        <m:oMath>
          <m:eqArr>
            <m:eqArrPr>
              <m:maxDist m:val="1"/>
              <m:ctrlPr>
                <w:rPr>
                  <w:rFonts w:ascii="Cambria Math" w:hAnsi="Cambria Math"/>
                  <w:i/>
                </w:rPr>
              </m:ctrlPr>
            </m:eqArrPr>
            <m:e>
              <m:r>
                <w:rPr>
                  <w:rFonts w:ascii="Cambria Math" w:hAnsi="Cambria Math"/>
                </w:rPr>
                <m:t>E</m:t>
              </m:r>
              <m:d>
                <m:dPr>
                  <m:ctrlPr>
                    <w:rPr>
                      <w:rFonts w:ascii="Cambria Math" w:hAnsi="Cambria Math"/>
                      <w:i/>
                    </w:rPr>
                  </m:ctrlPr>
                </m:dPr>
                <m:e>
                  <m:sSub>
                    <m:sSubPr>
                      <m:ctrlPr>
                        <w:rPr>
                          <w:rFonts w:ascii="Cambria Math" w:hAnsi="Cambria Math"/>
                          <w:i/>
                          <w:iCs/>
                        </w:rPr>
                      </m:ctrlPr>
                    </m:sSubPr>
                    <m:e>
                      <m:r>
                        <w:rPr>
                          <w:rFonts w:ascii="Cambria Math" w:hAnsi="Cambria Math"/>
                        </w:rPr>
                        <m:t>R</m:t>
                      </m:r>
                    </m:e>
                    <m:sub>
                      <m:r>
                        <w:rPr>
                          <w:rFonts w:ascii="Cambria Math" w:hAnsi="Cambria Math"/>
                        </w:rPr>
                        <m:t>i,t</m:t>
                      </m:r>
                    </m:sub>
                  </m:sSub>
                </m:e>
              </m:d>
              <m:r>
                <w:rPr>
                  <w:rFonts w:ascii="Cambria Math" w:hAnsi="Cambria Math"/>
                </w:rPr>
                <m:t>=</m:t>
              </m:r>
              <m:f>
                <m:fPr>
                  <m:ctrlPr>
                    <w:rPr>
                      <w:rFonts w:ascii="Cambria Math" w:hAnsi="Cambria Math"/>
                      <w:i/>
                      <w:iCs/>
                    </w:rPr>
                  </m:ctrlPr>
                </m:fPr>
                <m:num>
                  <m:nary>
                    <m:naryPr>
                      <m:chr m:val="∑"/>
                      <m:limLoc m:val="undOvr"/>
                      <m:grow m:val="1"/>
                      <m:ctrlPr>
                        <w:rPr>
                          <w:rFonts w:ascii="Cambria Math" w:hAnsi="Cambria Math"/>
                          <w:i/>
                          <w:iCs/>
                        </w:rPr>
                      </m:ctrlPr>
                    </m:naryPr>
                    <m:sub>
                      <m:r>
                        <w:rPr>
                          <w:rFonts w:ascii="Cambria Math" w:hAnsi="Cambria Math"/>
                        </w:rPr>
                        <m:t>J=</m:t>
                      </m:r>
                      <m:sSub>
                        <m:sSubPr>
                          <m:ctrlPr>
                            <w:rPr>
                              <w:rFonts w:ascii="Cambria Math" w:hAnsi="Cambria Math"/>
                              <w:i/>
                              <w:iCs/>
                            </w:rPr>
                          </m:ctrlPr>
                        </m:sSubPr>
                        <m:e>
                          <m:r>
                            <w:rPr>
                              <w:rFonts w:ascii="Cambria Math" w:hAnsi="Cambria Math"/>
                            </w:rPr>
                            <m:t>t</m:t>
                          </m:r>
                        </m:e>
                        <m:sub>
                          <m:r>
                            <w:rPr>
                              <w:rFonts w:ascii="Cambria Math" w:hAnsi="Cambria Math"/>
                            </w:rPr>
                            <m:t>1</m:t>
                          </m:r>
                        </m:sub>
                      </m:sSub>
                    </m:sub>
                    <m:sup>
                      <m:sSub>
                        <m:sSubPr>
                          <m:ctrlPr>
                            <w:rPr>
                              <w:rFonts w:ascii="Cambria Math" w:hAnsi="Cambria Math"/>
                              <w:i/>
                              <w:iCs/>
                            </w:rPr>
                          </m:ctrlPr>
                        </m:sSubPr>
                        <m:e>
                          <m:r>
                            <w:rPr>
                              <w:rFonts w:ascii="Cambria Math" w:hAnsi="Cambria Math"/>
                            </w:rPr>
                            <m:t>t</m:t>
                          </m:r>
                        </m:e>
                        <m:sub>
                          <m:r>
                            <w:rPr>
                              <w:rFonts w:ascii="Cambria Math" w:hAnsi="Cambria Math"/>
                            </w:rPr>
                            <m:t>2</m:t>
                          </m:r>
                        </m:sub>
                      </m:sSub>
                    </m:sup>
                    <m:e>
                      <m:sSub>
                        <m:sSubPr>
                          <m:ctrlPr>
                            <w:rPr>
                              <w:rFonts w:ascii="Cambria Math" w:hAnsi="Cambria Math"/>
                              <w:i/>
                              <w:iCs/>
                            </w:rPr>
                          </m:ctrlPr>
                        </m:sSubPr>
                        <m:e>
                          <m:r>
                            <w:rPr>
                              <w:rFonts w:ascii="Cambria Math" w:hAnsi="Cambria Math"/>
                            </w:rPr>
                            <m:t>R</m:t>
                          </m:r>
                        </m:e>
                        <m:sub>
                          <m:r>
                            <w:rPr>
                              <w:rFonts w:ascii="Cambria Math" w:hAnsi="Cambria Math"/>
                            </w:rPr>
                            <m:t>i,j</m:t>
                          </m:r>
                        </m:sub>
                      </m:sSub>
                    </m:e>
                  </m:nary>
                </m:num>
                <m:den>
                  <m:r>
                    <w:rPr>
                      <w:rFonts w:ascii="Cambria Math" w:hAnsi="Cambria Math"/>
                    </w:rPr>
                    <m:t>T</m:t>
                  </m:r>
                </m:den>
              </m:f>
              <m:r>
                <w:rPr>
                  <w:rFonts w:ascii="Cambria Math" w:hAnsi="Cambria Math"/>
                </w:rPr>
                <m:t>#</m:t>
              </m:r>
              <m:r>
                <m:rPr>
                  <m:nor/>
                </m:rPr>
                <w:rPr>
                  <w:rFonts w:ascii="Cambria Math" w:hAnsi="Cambria Math"/>
                </w:rPr>
                <m:t>(2)</m:t>
              </m:r>
              <m:ctrlPr>
                <w:rPr>
                  <w:rFonts w:ascii="Cambria Math" w:hAnsi="Cambria Math"/>
                </w:rPr>
              </m:ctrlPr>
            </m:e>
          </m:eqArr>
        </m:oMath>
      </m:oMathPara>
    </w:p>
    <w:p w14:paraId="51EAAE29" w14:textId="77777777" w:rsidR="007B5219" w:rsidRPr="007B5219" w:rsidRDefault="007B5219" w:rsidP="00DB5B25">
      <w:pPr>
        <w:ind w:firstLine="720"/>
        <w:jc w:val="both"/>
        <w:rPr>
          <w:rFonts w:ascii="Garamond" w:hAnsi="Garamond"/>
          <w:iCs/>
        </w:rPr>
      </w:pPr>
    </w:p>
    <w:p w14:paraId="52F1F915" w14:textId="77777777" w:rsidR="00E76BC4" w:rsidRPr="00E76BC4" w:rsidRDefault="00E76BC4" w:rsidP="00DB5B25">
      <w:pPr>
        <w:ind w:firstLine="720"/>
        <w:jc w:val="both"/>
        <w:rPr>
          <w:rFonts w:ascii="Garamond" w:hAnsi="Garamond"/>
          <w:i/>
          <w:iCs/>
        </w:rPr>
      </w:pPr>
    </w:p>
    <w:p w14:paraId="45C0086D" w14:textId="7300A9F9" w:rsidR="00E76BC4" w:rsidRDefault="00E76BC4" w:rsidP="00E76BC4">
      <w:pPr>
        <w:ind w:firstLine="720"/>
        <w:jc w:val="both"/>
        <w:rPr>
          <w:rFonts w:ascii="Garamond" w:hAnsi="Garamond"/>
        </w:rPr>
      </w:pPr>
      <w:r w:rsidRPr="00E76BC4">
        <w:rPr>
          <w:rFonts w:ascii="Garamond" w:hAnsi="Garamond"/>
        </w:rPr>
        <w:t>Abnormal return is obtained by comparing what actually happened in the market with what would normally be expected. By calculating the difference between the actual return and the expected return for a given day, the resulting value represents the abnormal return for that period</w:t>
      </w:r>
      <w:r w:rsidR="00661232">
        <w:rPr>
          <w:rFonts w:ascii="Garamond" w:hAnsi="Garamond"/>
        </w:rPr>
        <w:t xml:space="preserve"> </w:t>
      </w:r>
      <w:r w:rsidR="00661232" w:rsidRPr="00661232">
        <w:rPr>
          <w:rFonts w:ascii="Garamond" w:hAnsi="Garamond"/>
          <w:color w:val="4F81BD" w:themeColor="accent1"/>
        </w:rPr>
        <w:fldChar w:fldCharType="begin"/>
      </w:r>
      <w:r w:rsidR="00661232" w:rsidRPr="00661232">
        <w:rPr>
          <w:rFonts w:ascii="Garamond" w:hAnsi="Garamond"/>
          <w:color w:val="4F81BD" w:themeColor="accent1"/>
        </w:rPr>
        <w:instrText xml:space="preserve"> ADDIN ZOTERO_ITEM CSL_CITATION {"citationID":"E1XsHMhz","properties":{"formattedCitation":"(Brown &amp; Warner, 1980)","plainCitation":"(Brown &amp; Warner, 1980)","noteIndex":0},"citationItems":[{"id":114,"uris":["http://zotero.org/users/local/1Z4MS4c2/items/KVGUS6Z9"],"itemData":{"id":114,"type":"article-journal","container-title":"Journal of Financial Economics","DOI":"10.1016/0304-405X(80)90002-1","ISSN":"0304405X","issue":"3","journalAbbreviation":"Journal of Financial Economics","language":"en","license":"https://www.elsevier.com/tdm/userlicense/1.0/","page":"205-258","source":"DOI.org (Crossref)","title":"Measuring security price performance","volume":"8","author":[{"family":"Brown","given":"Stephen J."},{"family":"Warner","given":"Jerold B."}],"issued":{"date-parts":[["1980",9]]}}}],"schema":"https://github.com/citation-style-language/schema/raw/master/csl-citation.json"} </w:instrText>
      </w:r>
      <w:r w:rsidR="00661232" w:rsidRPr="00661232">
        <w:rPr>
          <w:rFonts w:ascii="Garamond" w:hAnsi="Garamond"/>
          <w:color w:val="4F81BD" w:themeColor="accent1"/>
        </w:rPr>
        <w:fldChar w:fldCharType="separate"/>
      </w:r>
      <w:r w:rsidR="00661232" w:rsidRPr="00661232">
        <w:rPr>
          <w:rFonts w:ascii="Garamond" w:hAnsi="Garamond"/>
          <w:color w:val="4F81BD" w:themeColor="accent1"/>
        </w:rPr>
        <w:t>(Brown &amp; Warner, 1980)</w:t>
      </w:r>
      <w:r w:rsidR="00661232" w:rsidRPr="00661232">
        <w:rPr>
          <w:rFonts w:ascii="Garamond" w:hAnsi="Garamond"/>
          <w:color w:val="4F81BD" w:themeColor="accent1"/>
        </w:rPr>
        <w:fldChar w:fldCharType="end"/>
      </w:r>
      <w:r w:rsidRPr="00E76BC4">
        <w:rPr>
          <w:rFonts w:ascii="Garamond" w:hAnsi="Garamond"/>
        </w:rPr>
        <w:t>.</w:t>
      </w:r>
    </w:p>
    <w:p w14:paraId="691D6DD5" w14:textId="77777777" w:rsidR="00E76BC4" w:rsidRDefault="00E76BC4" w:rsidP="00E76BC4">
      <w:pPr>
        <w:jc w:val="both"/>
        <w:rPr>
          <w:rFonts w:ascii="Garamond" w:hAnsi="Garamond"/>
        </w:rPr>
      </w:pPr>
    </w:p>
    <w:p w14:paraId="0241135B" w14:textId="4292D23E" w:rsidR="00E76BC4" w:rsidRPr="007B5219" w:rsidRDefault="007B5219" w:rsidP="00DB5B25">
      <w:pPr>
        <w:ind w:firstLine="720"/>
        <w:jc w:val="both"/>
        <w:rPr>
          <w:rFonts w:ascii="Garamond" w:hAnsi="Garamond"/>
        </w:rPr>
      </w:pPr>
      <m:oMathPara>
        <m:oMathParaPr>
          <m:jc m:val="center"/>
        </m:oMathParaPr>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AR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i,t</m:t>
                  </m:r>
                </m:sub>
              </m:sSub>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i,t</m:t>
                      </m:r>
                    </m:sub>
                  </m:sSub>
                </m:e>
              </m:d>
              <m:r>
                <w:rPr>
                  <w:rFonts w:ascii="Cambria Math" w:hAnsi="Cambria Math"/>
                </w:rPr>
                <m:t>#</m:t>
              </m:r>
              <m:r>
                <m:rPr>
                  <m:nor/>
                </m:rPr>
                <w:rPr>
                  <w:rFonts w:ascii="Cambria Math" w:hAnsi="Cambria Math"/>
                </w:rPr>
                <m:t>(3)</m:t>
              </m:r>
              <m:ctrlPr>
                <w:rPr>
                  <w:rFonts w:ascii="Cambria Math" w:hAnsi="Cambria Math"/>
                </w:rPr>
              </m:ctrlPr>
            </m:e>
          </m:eqArr>
        </m:oMath>
      </m:oMathPara>
    </w:p>
    <w:p w14:paraId="590CCDC8" w14:textId="77777777" w:rsidR="007B5219" w:rsidRPr="007B5219" w:rsidRDefault="007B5219" w:rsidP="00DB5B25">
      <w:pPr>
        <w:ind w:firstLine="720"/>
        <w:jc w:val="both"/>
        <w:rPr>
          <w:rFonts w:ascii="Garamond" w:hAnsi="Garamond"/>
        </w:rPr>
      </w:pPr>
    </w:p>
    <w:p w14:paraId="2CB98BAB" w14:textId="77777777" w:rsidR="00C87CF7" w:rsidRDefault="00C87CF7" w:rsidP="00DB5B25">
      <w:pPr>
        <w:jc w:val="both"/>
        <w:rPr>
          <w:rFonts w:ascii="Garamond" w:hAnsi="Garamond"/>
        </w:rPr>
      </w:pPr>
    </w:p>
    <w:p w14:paraId="372630F3" w14:textId="0AEAABAC" w:rsidR="00270ABA" w:rsidRPr="00270ABA" w:rsidRDefault="00270ABA" w:rsidP="00270ABA">
      <w:pPr>
        <w:jc w:val="both"/>
        <w:rPr>
          <w:rFonts w:ascii="Garamond" w:hAnsi="Garamond"/>
        </w:rPr>
      </w:pPr>
      <w:r w:rsidRPr="00270ABA">
        <w:rPr>
          <w:rFonts w:ascii="Garamond" w:hAnsi="Garamond"/>
        </w:rPr>
        <w:t>Abnormal return at a single point in time only shows the market reaction for one index on one specific day, so it needs to be aggregated to capture the overall effect of an event more clearly. Cross</w:t>
      </w:r>
      <w:r w:rsidRPr="00270ABA">
        <w:rPr>
          <w:rFonts w:ascii="Garamond" w:hAnsi="Garamond"/>
        </w:rPr>
        <w:noBreakHyphen/>
        <w:t>sectional aggregation combines abnormal returns across all indices at a given time </w:t>
      </w:r>
      <m:oMath>
        <m:r>
          <w:rPr>
            <w:rFonts w:ascii="Cambria Math" w:hAnsi="Cambria Math"/>
          </w:rPr>
          <m:t>t</m:t>
        </m:r>
      </m:oMath>
      <w:r w:rsidRPr="00270ABA">
        <w:rPr>
          <w:rFonts w:ascii="Garamond" w:hAnsi="Garamond"/>
        </w:rPr>
        <w:t> to test whether, on average, the market as a whole reacts significantly on that day. Time</w:t>
      </w:r>
      <w:r w:rsidRPr="00270ABA">
        <w:rPr>
          <w:rFonts w:ascii="Garamond" w:hAnsi="Garamond"/>
        </w:rPr>
        <w:noBreakHyphen/>
        <w:t>series aggregation accumulates abnormal returns for a given index over several days in the event window to test whether the total impact of the event on that market is statistically significant over time.</w:t>
      </w:r>
    </w:p>
    <w:p w14:paraId="4F30A98E" w14:textId="6CD3FF44" w:rsidR="00270ABA" w:rsidRPr="00270ABA" w:rsidRDefault="00270ABA" w:rsidP="00270ABA">
      <w:pPr>
        <w:jc w:val="both"/>
        <w:rPr>
          <w:rFonts w:ascii="Garamond" w:hAnsi="Garamond"/>
        </w:rPr>
      </w:pPr>
      <w:r w:rsidRPr="00270ABA">
        <w:rPr>
          <w:rFonts w:ascii="Garamond" w:hAnsi="Garamond"/>
        </w:rPr>
        <w:t>Cross</w:t>
      </w:r>
      <w:r w:rsidRPr="00270ABA">
        <w:rPr>
          <w:rFonts w:ascii="Garamond" w:hAnsi="Garamond"/>
        </w:rPr>
        <w:noBreakHyphen/>
        <w:t>sectional aggregation (Average Abnormal Return, AAR) is defined as</w:t>
      </w:r>
      <w:r>
        <w:rPr>
          <w:rFonts w:ascii="Garamond" w:hAnsi="Garamond"/>
        </w:rPr>
        <w:t>:</w:t>
      </w:r>
    </w:p>
    <w:p w14:paraId="32462B2E" w14:textId="4ADAB35A" w:rsidR="00860B6F" w:rsidRPr="007B5219" w:rsidRDefault="007B5219" w:rsidP="00DB5B25">
      <w:pPr>
        <w:jc w:val="both"/>
        <w:rPr>
          <w:rFonts w:ascii="Garamond" w:hAnsi="Garamond"/>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AAR</m:t>
                  </m:r>
                </m:e>
                <m:sub>
                  <m:r>
                    <w:rPr>
                      <w:rFonts w:ascii="Cambria Math" w:hAnsi="Cambria Math"/>
                    </w:rPr>
                    <m:t>t</m:t>
                  </m:r>
                </m:sub>
              </m:sSub>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AR</m:t>
                          </m:r>
                        </m:e>
                        <m:sub>
                          <m:r>
                            <w:rPr>
                              <w:rFonts w:ascii="Cambria Math" w:hAnsi="Cambria Math"/>
                            </w:rPr>
                            <m:t>i,t</m:t>
                          </m:r>
                        </m:sub>
                      </m:sSub>
                    </m:e>
                  </m:nary>
                </m:num>
                <m:den>
                  <m:r>
                    <w:rPr>
                      <w:rFonts w:ascii="Cambria Math" w:hAnsi="Cambria Math"/>
                    </w:rPr>
                    <m:t>n</m:t>
                  </m:r>
                </m:den>
              </m:f>
              <m:r>
                <w:rPr>
                  <w:rFonts w:ascii="Cambria Math" w:hAnsi="Cambria Math"/>
                </w:rPr>
                <m:t>#</m:t>
              </m:r>
              <m:r>
                <m:rPr>
                  <m:nor/>
                </m:rPr>
                <w:rPr>
                  <w:rFonts w:ascii="Cambria Math" w:hAnsi="Cambria Math"/>
                </w:rPr>
                <m:t>(4)</m:t>
              </m:r>
              <m:ctrlPr>
                <w:rPr>
                  <w:rFonts w:ascii="Cambria Math" w:hAnsi="Cambria Math"/>
                </w:rPr>
              </m:ctrlPr>
            </m:e>
          </m:eqArr>
        </m:oMath>
      </m:oMathPara>
    </w:p>
    <w:p w14:paraId="17E77066" w14:textId="77777777" w:rsidR="007B5219" w:rsidRPr="007B5219" w:rsidRDefault="007B5219" w:rsidP="00DB5B25">
      <w:pPr>
        <w:jc w:val="both"/>
        <w:rPr>
          <w:rFonts w:ascii="Garamond" w:hAnsi="Garamond"/>
        </w:rPr>
      </w:pPr>
    </w:p>
    <w:p w14:paraId="19D2361F" w14:textId="1BF4C1B3" w:rsidR="00270ABA" w:rsidRPr="00270ABA" w:rsidRDefault="00270ABA" w:rsidP="00DB5B25">
      <w:pPr>
        <w:jc w:val="both"/>
        <w:rPr>
          <w:rFonts w:ascii="Garamond" w:hAnsi="Garamond"/>
          <w:iCs/>
        </w:rPr>
      </w:pPr>
      <w:r w:rsidRPr="00270ABA">
        <w:rPr>
          <w:rFonts w:ascii="Garamond" w:hAnsi="Garamond"/>
          <w:iCs/>
        </w:rPr>
        <w:t>Time</w:t>
      </w:r>
      <w:r w:rsidRPr="00270ABA">
        <w:rPr>
          <w:rFonts w:ascii="Garamond" w:hAnsi="Garamond"/>
          <w:iCs/>
        </w:rPr>
        <w:noBreakHyphen/>
        <w:t>series aggregation (Cumulative Abnormal Return, CAR) for index </w:t>
      </w:r>
      <m:oMath>
        <m:r>
          <w:rPr>
            <w:rFonts w:ascii="Cambria Math" w:hAnsi="Cambria Math"/>
          </w:rPr>
          <m:t>i</m:t>
        </m:r>
      </m:oMath>
      <w:r w:rsidRPr="00270ABA">
        <w:rPr>
          <w:rFonts w:ascii="Garamond" w:hAnsi="Garamond"/>
          <w:iCs/>
        </w:rPr>
        <w:t> over an event window from </w:t>
      </w:r>
      <m:oMath>
        <m:sSub>
          <m:sSubPr>
            <m:ctrlPr>
              <w:rPr>
                <w:rFonts w:ascii="Cambria Math" w:hAnsi="Cambria Math"/>
                <w:iCs/>
              </w:rPr>
            </m:ctrlPr>
          </m:sSubPr>
          <m:e>
            <m:r>
              <w:rPr>
                <w:rFonts w:ascii="Cambria Math" w:hAnsi="Cambria Math"/>
              </w:rPr>
              <m:t>τ</m:t>
            </m:r>
          </m:e>
          <m:sub>
            <m:r>
              <w:rPr>
                <w:rFonts w:ascii="Cambria Math" w:hAnsi="Cambria Math"/>
              </w:rPr>
              <m:t>1</m:t>
            </m:r>
          </m:sub>
        </m:sSub>
      </m:oMath>
      <w:r w:rsidRPr="00270ABA">
        <w:rPr>
          <w:rFonts w:ascii="Garamond" w:hAnsi="Garamond"/>
          <w:iCs/>
        </w:rPr>
        <w:t> to </w:t>
      </w:r>
      <m:oMath>
        <m:sSub>
          <m:sSubPr>
            <m:ctrlPr>
              <w:rPr>
                <w:rFonts w:ascii="Cambria Math" w:hAnsi="Cambria Math"/>
                <w:iCs/>
              </w:rPr>
            </m:ctrlPr>
          </m:sSubPr>
          <m:e>
            <m:r>
              <w:rPr>
                <w:rFonts w:ascii="Cambria Math" w:hAnsi="Cambria Math"/>
              </w:rPr>
              <m:t>τ</m:t>
            </m:r>
          </m:e>
          <m:sub>
            <m:r>
              <w:rPr>
                <w:rFonts w:ascii="Cambria Math" w:hAnsi="Cambria Math"/>
              </w:rPr>
              <m:t>2</m:t>
            </m:r>
          </m:sub>
        </m:sSub>
      </m:oMath>
      <w:r w:rsidRPr="00270ABA">
        <w:rPr>
          <w:rFonts w:ascii="Garamond" w:hAnsi="Garamond"/>
          <w:iCs/>
        </w:rPr>
        <w:t> is defined as</w:t>
      </w:r>
      <w:r>
        <w:rPr>
          <w:rFonts w:ascii="Garamond" w:hAnsi="Garamond"/>
          <w:iCs/>
        </w:rPr>
        <w:t>:</w:t>
      </w:r>
    </w:p>
    <w:p w14:paraId="3C24D2B7" w14:textId="24942392" w:rsidR="00860B6F" w:rsidRPr="007B5219" w:rsidRDefault="007B5219" w:rsidP="00DB5B25">
      <w:pPr>
        <w:jc w:val="both"/>
        <w:rPr>
          <w:rFonts w:ascii="Garamond" w:hAnsi="Garamond"/>
        </w:rPr>
      </w:pPr>
      <m:oMathPara>
        <m:oMathParaPr>
          <m:jc m:val="center"/>
        </m:oMathParaPr>
        <m:oMath>
          <m:eqArr>
            <m:eqArrPr>
              <m:maxDist m:val="1"/>
              <m:ctrlPr>
                <w:rPr>
                  <w:rFonts w:ascii="Cambria Math" w:hAnsi="Cambria Math"/>
                  <w:i/>
                </w:rPr>
              </m:ctrlPr>
            </m:eqArrPr>
            <m:e>
              <m:r>
                <w:rPr>
                  <w:rFonts w:ascii="Cambria Math" w:hAnsi="Cambria Math"/>
                </w:rPr>
                <m:t>CAR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 xml:space="preserve">= </m:t>
              </m:r>
              <m:nary>
                <m:naryPr>
                  <m:chr m:val="∑"/>
                  <m:limLoc m:val="undOvr"/>
                  <m:grow m:val="1"/>
                  <m:ctrlPr>
                    <w:rPr>
                      <w:rFonts w:ascii="Cambria Math" w:hAnsi="Cambria Math"/>
                      <w:i/>
                    </w:rPr>
                  </m:ctrlPr>
                </m:naryPr>
                <m:sub>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1</m:t>
                      </m:r>
                    </m:sub>
                  </m:sSub>
                </m:sub>
                <m:sup>
                  <m:sSub>
                    <m:sSubPr>
                      <m:ctrlPr>
                        <w:rPr>
                          <w:rFonts w:ascii="Cambria Math" w:hAnsi="Cambria Math"/>
                          <w:i/>
                        </w:rPr>
                      </m:ctrlPr>
                    </m:sSubPr>
                    <m:e>
                      <m:r>
                        <w:rPr>
                          <w:rFonts w:ascii="Cambria Math" w:hAnsi="Cambria Math"/>
                        </w:rPr>
                        <m:t>t</m:t>
                      </m:r>
                    </m:e>
                    <m:sub>
                      <m:r>
                        <w:rPr>
                          <w:rFonts w:ascii="Cambria Math" w:hAnsi="Cambria Math"/>
                        </w:rPr>
                        <m:t>2</m:t>
                      </m:r>
                    </m:sub>
                  </m:sSub>
                </m:sup>
                <m:e>
                  <m:r>
                    <w:rPr>
                      <w:rFonts w:ascii="Cambria Math" w:hAnsi="Cambria Math"/>
                    </w:rPr>
                    <m:t>A</m:t>
                  </m:r>
                  <m:sSub>
                    <m:sSubPr>
                      <m:ctrlPr>
                        <w:rPr>
                          <w:rFonts w:ascii="Cambria Math" w:hAnsi="Cambria Math"/>
                          <w:i/>
                        </w:rPr>
                      </m:ctrlPr>
                    </m:sSubPr>
                    <m:e>
                      <m:r>
                        <w:rPr>
                          <w:rFonts w:ascii="Cambria Math" w:hAnsi="Cambria Math"/>
                        </w:rPr>
                        <m:t>R</m:t>
                      </m:r>
                    </m:e>
                    <m:sub>
                      <m:r>
                        <w:rPr>
                          <w:rFonts w:ascii="Cambria Math" w:hAnsi="Cambria Math"/>
                        </w:rPr>
                        <m:t>i,t</m:t>
                      </m:r>
                    </m:sub>
                  </m:sSub>
                </m:e>
              </m:nary>
              <m:r>
                <w:rPr>
                  <w:rFonts w:ascii="Cambria Math" w:hAnsi="Cambria Math"/>
                </w:rPr>
                <m:t>#</m:t>
              </m:r>
              <m:r>
                <m:rPr>
                  <m:nor/>
                </m:rPr>
                <w:rPr>
                  <w:rFonts w:ascii="Cambria Math" w:hAnsi="Cambria Math"/>
                </w:rPr>
                <m:t>(5)</m:t>
              </m:r>
              <m:ctrlPr>
                <w:rPr>
                  <w:rFonts w:ascii="Cambria Math" w:hAnsi="Cambria Math"/>
                </w:rPr>
              </m:ctrlPr>
            </m:e>
          </m:eqArr>
        </m:oMath>
      </m:oMathPara>
    </w:p>
    <w:p w14:paraId="6CCB1A10" w14:textId="77777777" w:rsidR="007B5219" w:rsidRPr="007B5219" w:rsidRDefault="007B5219" w:rsidP="00DB5B25">
      <w:pPr>
        <w:jc w:val="both"/>
        <w:rPr>
          <w:rFonts w:ascii="Garamond" w:hAnsi="Garamond"/>
        </w:rPr>
      </w:pPr>
    </w:p>
    <w:p w14:paraId="056575C1" w14:textId="77777777" w:rsidR="00860B6F" w:rsidRDefault="00860B6F" w:rsidP="00DB5B25">
      <w:pPr>
        <w:jc w:val="both"/>
        <w:rPr>
          <w:rFonts w:ascii="Garamond" w:hAnsi="Garamond"/>
        </w:rPr>
      </w:pPr>
    </w:p>
    <w:p w14:paraId="57094D65" w14:textId="578BBB8B" w:rsidR="00237D43" w:rsidRDefault="00860B6F" w:rsidP="00DB5B25">
      <w:pPr>
        <w:jc w:val="both"/>
        <w:rPr>
          <w:rFonts w:ascii="Garamond" w:hAnsi="Garamond"/>
        </w:rPr>
      </w:pPr>
      <w:r>
        <w:rPr>
          <w:rFonts w:ascii="Garamond" w:hAnsi="Garamond"/>
          <w:b/>
          <w:bCs/>
        </w:rPr>
        <w:t>2. 3    Research Hypothesis</w:t>
      </w:r>
    </w:p>
    <w:p w14:paraId="45AE937D" w14:textId="77777777" w:rsidR="00237D43" w:rsidRDefault="00237D43" w:rsidP="00DB5B25">
      <w:pPr>
        <w:jc w:val="both"/>
        <w:rPr>
          <w:rFonts w:ascii="Garamond" w:hAnsi="Garamond"/>
        </w:rPr>
      </w:pPr>
    </w:p>
    <w:p w14:paraId="046A2DE0" w14:textId="14BBBF93" w:rsidR="00361EEF" w:rsidRDefault="00361EEF" w:rsidP="00860B6F">
      <w:pPr>
        <w:ind w:firstLine="720"/>
        <w:jc w:val="both"/>
        <w:rPr>
          <w:rFonts w:ascii="Garamond" w:hAnsi="Garamond"/>
        </w:rPr>
      </w:pPr>
      <w:r w:rsidRPr="00361EEF">
        <w:rPr>
          <w:rFonts w:ascii="Garamond" w:hAnsi="Garamond"/>
        </w:rPr>
        <w:t xml:space="preserve">In an event study framework, the starting point is to specify whether a particular announcement generates stock returns that deviate from their normal pattern. </w:t>
      </w:r>
      <w:r w:rsidRPr="00361EEF">
        <w:rPr>
          <w:rFonts w:ascii="Garamond" w:hAnsi="Garamond"/>
          <w:color w:val="4F81BD" w:themeColor="accent1"/>
        </w:rPr>
        <w:fldChar w:fldCharType="begin"/>
      </w:r>
      <w:r w:rsidR="00FD6A21">
        <w:rPr>
          <w:rFonts w:ascii="Garamond" w:hAnsi="Garamond"/>
          <w:color w:val="4F81BD" w:themeColor="accent1"/>
        </w:rPr>
        <w:instrText xml:space="preserve"> ADDIN ZOTERO_ITEM CSL_CITATION {"citationID":"JbAT7XOK","properties":{"formattedCitation":"(Kothari &amp; Warner, 2007)","plainCitation":"(Kothari &amp; Warner, 2007)","dontUpdate":true,"noteIndex":0},"citationItems":[{"id":56,"uris":["http://zotero.org/users/local/1Z4MS4c2/items/M6JLFUEN"],"itemData":{"id":56,"type":"chapter","abstract":"The number of published event studies exceeds 500, and the literature continues to grow. We provide an overview of event study methods. Short-horizon methods are quite reliable. While long-horizon methods have improved, serious limitations remain. A challenge is to continue to reﬁne long-horizon methods. We present new evidence illustrating that properties of event study methods can vary by calendar time period and can depend on event sample ﬁrm characteristics such as volatility. This reinforces the importance of using stratiﬁed samples to examine event study statistical properties.","container-title":"Handbook of Empirical Corporate Finance","ISBN":"978-0-444-53265-7","language":"en","license":"https://www.elsevier.com/tdm/userlicense/1.0/","note":"DOI: 10.1016/B978-0-444-53265-7.50015-9","page":"3-36","publisher":"Elsevier","source":"DOI.org (Crossref)","title":"Econometrics of Event Studies","URL":"https://linkinghub.elsevier.com/retrieve/pii/B9780444532657500159","author":[{"family":"Kothari","given":"S.P."},{"family":"Warner","given":"Jerold B."}],"accessed":{"date-parts":[["2025",9,28]]},"issued":{"date-parts":[["2007"]]}}}],"schema":"https://github.com/citation-style-language/schema/raw/master/csl-citation.json"} </w:instrText>
      </w:r>
      <w:r w:rsidRPr="00361EEF">
        <w:rPr>
          <w:rFonts w:ascii="Garamond" w:hAnsi="Garamond"/>
          <w:color w:val="4F81BD" w:themeColor="accent1"/>
        </w:rPr>
        <w:fldChar w:fldCharType="separate"/>
      </w:r>
      <w:r w:rsidRPr="00361EEF">
        <w:rPr>
          <w:rFonts w:ascii="Garamond" w:hAnsi="Garamond"/>
          <w:color w:val="4F81BD" w:themeColor="accent1"/>
        </w:rPr>
        <w:t>Kothari &amp; Warner (2007)</w:t>
      </w:r>
      <w:r w:rsidRPr="00361EEF">
        <w:rPr>
          <w:rFonts w:ascii="Garamond" w:hAnsi="Garamond"/>
          <w:color w:val="4F81BD" w:themeColor="accent1"/>
        </w:rPr>
        <w:fldChar w:fldCharType="end"/>
      </w:r>
      <w:r w:rsidRPr="00361EEF">
        <w:rPr>
          <w:rFonts w:ascii="Garamond" w:hAnsi="Garamond"/>
        </w:rPr>
        <w:t xml:space="preserve"> state that the central objective of an event study is to test whether average abnormal returns around the event window are statistically different from zero. Building on this view, the hypotheses in this study are formulated as follows</w:t>
      </w:r>
      <w:r>
        <w:rPr>
          <w:rFonts w:ascii="Garamond" w:hAnsi="Garamond"/>
        </w:rPr>
        <w:t>:</w:t>
      </w:r>
    </w:p>
    <w:bookmarkStart w:id="0" w:name="_Toc210121876"/>
    <w:p w14:paraId="1C4F1F50" w14:textId="455FA103" w:rsidR="00361EEF" w:rsidRPr="00361EEF" w:rsidRDefault="00000000" w:rsidP="00361EEF">
      <w:pPr>
        <w:jc w:val="both"/>
        <w:rPr>
          <w:rFonts w:ascii="Garamond" w:hAnsi="Garamond"/>
          <w:iCs/>
        </w:rPr>
      </w:pP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0</m:t>
            </m:r>
          </m:sub>
        </m:sSub>
      </m:oMath>
      <w:r w:rsidR="00361EEF" w:rsidRPr="00361EEF">
        <w:rPr>
          <w:rFonts w:ascii="Garamond" w:hAnsi="Garamond"/>
          <w:iCs/>
        </w:rPr>
        <w:t xml:space="preserve"> : </w:t>
      </w:r>
      <w:bookmarkEnd w:id="0"/>
      <w:r w:rsidR="00361EEF" w:rsidRPr="00361EEF">
        <w:rPr>
          <w:rFonts w:ascii="Garamond" w:hAnsi="Garamond"/>
          <w:iCs/>
        </w:rPr>
        <w:t>There is no abnormal return on ASEAN stock indices around the announcement period of the initial U.S. reciprocal tariff.</w:t>
      </w:r>
    </w:p>
    <w:p w14:paraId="2270F111" w14:textId="7AEE8032" w:rsidR="00361EEF" w:rsidRDefault="00000000" w:rsidP="00361EEF">
      <w:pPr>
        <w:jc w:val="both"/>
        <w:rPr>
          <w:rFonts w:ascii="Garamond" w:hAnsi="Garamond"/>
          <w:iCs/>
        </w:rPr>
      </w:pP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a</m:t>
            </m:r>
          </m:sub>
        </m:sSub>
      </m:oMath>
      <w:r w:rsidR="00361EEF" w:rsidRPr="00361EEF">
        <w:rPr>
          <w:rFonts w:ascii="Garamond" w:hAnsi="Garamond"/>
          <w:iCs/>
        </w:rPr>
        <w:t xml:space="preserve"> : There is abnormal return on ASEAN stock indices around the announcement period of the initial U.S. reciprocal tariff.</w:t>
      </w:r>
    </w:p>
    <w:p w14:paraId="3ADD298D" w14:textId="77777777" w:rsidR="00361EEF" w:rsidRPr="00361EEF" w:rsidRDefault="00361EEF" w:rsidP="00361EEF">
      <w:pPr>
        <w:jc w:val="both"/>
        <w:rPr>
          <w:rFonts w:ascii="Garamond" w:hAnsi="Garamond"/>
          <w:iCs/>
        </w:rPr>
      </w:pPr>
    </w:p>
    <w:bookmarkStart w:id="1" w:name="_Toc210121877"/>
    <w:p w14:paraId="61DCEB12" w14:textId="065CD94A" w:rsidR="00361EEF" w:rsidRPr="00361EEF" w:rsidRDefault="00000000" w:rsidP="00361EEF">
      <w:pPr>
        <w:jc w:val="both"/>
        <w:rPr>
          <w:rFonts w:ascii="Garamond" w:hAnsi="Garamond"/>
          <w:iCs/>
        </w:rPr>
      </w:pP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0</m:t>
            </m:r>
          </m:sub>
        </m:sSub>
      </m:oMath>
      <w:r w:rsidR="00361EEF" w:rsidRPr="00361EEF">
        <w:rPr>
          <w:rFonts w:ascii="Garamond" w:hAnsi="Garamond"/>
          <w:iCs/>
        </w:rPr>
        <w:t xml:space="preserve"> : </w:t>
      </w:r>
      <w:bookmarkEnd w:id="1"/>
      <w:r w:rsidR="00361EEF" w:rsidRPr="00361EEF">
        <w:rPr>
          <w:rFonts w:ascii="Garamond" w:hAnsi="Garamond"/>
          <w:iCs/>
        </w:rPr>
        <w:t>There is no abnormal return on ASEAN stock indices around the announcement period of the pause of the U.S. reciprocal tariff.</w:t>
      </w:r>
    </w:p>
    <w:p w14:paraId="7332FFD5" w14:textId="2E1B2F7F" w:rsidR="00361EEF" w:rsidRDefault="00000000" w:rsidP="00361EEF">
      <w:pPr>
        <w:jc w:val="both"/>
        <w:rPr>
          <w:rFonts w:ascii="Garamond" w:hAnsi="Garamond"/>
          <w:iCs/>
        </w:rPr>
      </w:pP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a</m:t>
            </m:r>
          </m:sub>
        </m:sSub>
      </m:oMath>
      <w:r w:rsidR="00361EEF" w:rsidRPr="00361EEF">
        <w:rPr>
          <w:rFonts w:ascii="Garamond" w:hAnsi="Garamond"/>
          <w:iCs/>
        </w:rPr>
        <w:t xml:space="preserve"> : There is abnormal return on ASEAN stock indices around the announcement period of the pause of the U.S. reciprocal tariff.</w:t>
      </w:r>
    </w:p>
    <w:p w14:paraId="15409242" w14:textId="77777777" w:rsidR="00361EEF" w:rsidRPr="00361EEF" w:rsidRDefault="00361EEF" w:rsidP="00361EEF">
      <w:pPr>
        <w:jc w:val="both"/>
        <w:rPr>
          <w:rFonts w:ascii="Garamond" w:hAnsi="Garamond"/>
          <w:iCs/>
        </w:rPr>
      </w:pPr>
    </w:p>
    <w:bookmarkStart w:id="2" w:name="_Toc210121878"/>
    <w:p w14:paraId="068D769C" w14:textId="5FF74842" w:rsidR="00361EEF" w:rsidRPr="00361EEF" w:rsidRDefault="00000000" w:rsidP="00361EEF">
      <w:pPr>
        <w:jc w:val="both"/>
        <w:rPr>
          <w:rFonts w:ascii="Garamond" w:hAnsi="Garamond"/>
          <w:iCs/>
        </w:rPr>
      </w:pP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0</m:t>
            </m:r>
          </m:sub>
        </m:sSub>
      </m:oMath>
      <w:r w:rsidR="00361EEF" w:rsidRPr="00361EEF">
        <w:rPr>
          <w:rFonts w:ascii="Garamond" w:hAnsi="Garamond"/>
          <w:iCs/>
        </w:rPr>
        <w:t xml:space="preserve"> : There is no abnormal return on ASEAN stock indices around the announcement period of the adjustment of the U.S. reciprocal tariff.</w:t>
      </w:r>
      <w:bookmarkEnd w:id="2"/>
    </w:p>
    <w:p w14:paraId="7C0BE542" w14:textId="21DACDC1" w:rsidR="00361EEF" w:rsidRPr="00361EEF" w:rsidRDefault="00000000" w:rsidP="00361EEF">
      <w:pPr>
        <w:jc w:val="both"/>
        <w:rPr>
          <w:rFonts w:ascii="Garamond" w:hAnsi="Garamond"/>
          <w:iCs/>
        </w:rPr>
      </w:pP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a</m:t>
            </m:r>
          </m:sub>
        </m:sSub>
      </m:oMath>
      <w:r w:rsidR="00361EEF" w:rsidRPr="00361EEF">
        <w:rPr>
          <w:rFonts w:ascii="Garamond" w:hAnsi="Garamond"/>
          <w:iCs/>
        </w:rPr>
        <w:t xml:space="preserve"> : There is abnormal return on ASEAN stock indices around the announcement period of the adjustment of the U.S. reciprocal tariff. </w:t>
      </w:r>
    </w:p>
    <w:p w14:paraId="6ACD3A5A" w14:textId="77777777" w:rsidR="00237D43" w:rsidRPr="00DB5B25" w:rsidRDefault="00237D43" w:rsidP="00DB5B25">
      <w:pPr>
        <w:jc w:val="both"/>
        <w:rPr>
          <w:rFonts w:ascii="Garamond" w:hAnsi="Garamond"/>
          <w:b/>
          <w:bCs/>
        </w:rPr>
      </w:pPr>
    </w:p>
    <w:p w14:paraId="328645F8" w14:textId="0C4991FC" w:rsidR="00EB2A16" w:rsidRDefault="004D5B5D" w:rsidP="00150B9E">
      <w:pPr>
        <w:pStyle w:val="ListParagraph"/>
        <w:numPr>
          <w:ilvl w:val="0"/>
          <w:numId w:val="7"/>
        </w:numPr>
        <w:ind w:left="426" w:hanging="426"/>
        <w:jc w:val="both"/>
        <w:rPr>
          <w:rFonts w:ascii="Garamond" w:hAnsi="Garamond"/>
          <w:b/>
          <w:bCs/>
        </w:rPr>
      </w:pPr>
      <w:r>
        <w:rPr>
          <w:rFonts w:ascii="Garamond" w:hAnsi="Garamond"/>
          <w:b/>
          <w:bCs/>
        </w:rPr>
        <w:t>METHODOLOGY</w:t>
      </w:r>
    </w:p>
    <w:p w14:paraId="4AB587CA" w14:textId="77777777" w:rsidR="00237D43" w:rsidRDefault="00237D43" w:rsidP="00237D43">
      <w:pPr>
        <w:ind w:firstLine="720"/>
        <w:jc w:val="both"/>
        <w:rPr>
          <w:rFonts w:ascii="Garamond" w:hAnsi="Garamond"/>
        </w:rPr>
      </w:pPr>
    </w:p>
    <w:p w14:paraId="68072BB9" w14:textId="45E4E5E1" w:rsidR="00237D43" w:rsidRDefault="00237D43" w:rsidP="00237D43">
      <w:pPr>
        <w:ind w:firstLine="720"/>
        <w:jc w:val="both"/>
        <w:rPr>
          <w:rFonts w:ascii="Garamond" w:hAnsi="Garamond"/>
        </w:rPr>
      </w:pPr>
      <w:r w:rsidRPr="00237D43">
        <w:rPr>
          <w:rFonts w:ascii="Garamond" w:hAnsi="Garamond"/>
        </w:rPr>
        <w:t xml:space="preserve">This study employs a quantitative research design using an event study approach. The main objective is to examine whether United States tariff announcements generate abnormal returns in six ASEAN stock indices, namely </w:t>
      </w:r>
      <w:proofErr w:type="spellStart"/>
      <w:r w:rsidRPr="00237D43">
        <w:rPr>
          <w:rFonts w:ascii="Garamond" w:hAnsi="Garamond"/>
        </w:rPr>
        <w:t>PSEi</w:t>
      </w:r>
      <w:proofErr w:type="spellEnd"/>
      <w:r w:rsidRPr="00237D43">
        <w:rPr>
          <w:rFonts w:ascii="Garamond" w:hAnsi="Garamond"/>
        </w:rPr>
        <w:t xml:space="preserve"> (Philippines), IDX Composite (Indonesia), FTSE Bursa Malaysia KLCI (Malaysia), STI (Singapore), SET Index (Thailand), and VN Index (Vietnam). The events </w:t>
      </w:r>
      <w:proofErr w:type="spellStart"/>
      <w:r w:rsidRPr="00237D43">
        <w:rPr>
          <w:rFonts w:ascii="Garamond" w:hAnsi="Garamond"/>
        </w:rPr>
        <w:t>analyzed</w:t>
      </w:r>
      <w:proofErr w:type="spellEnd"/>
      <w:r w:rsidRPr="00237D43">
        <w:rPr>
          <w:rFonts w:ascii="Garamond" w:hAnsi="Garamond"/>
        </w:rPr>
        <w:t xml:space="preserve"> are three policy announcements related to the U.S. reciprocal tariff regime in 2025: the initial tariff announcement on 2 April 2025 (Event 1), the pause announcement on 9 April 2025 (Event 2), and the tariff adjustment announcement on 31 July 2025 (Event 3).</w:t>
      </w:r>
    </w:p>
    <w:p w14:paraId="1E9E6AF5" w14:textId="77777777" w:rsidR="00237D43" w:rsidRPr="00237D43" w:rsidRDefault="00237D43" w:rsidP="00237D43">
      <w:pPr>
        <w:ind w:firstLine="720"/>
        <w:jc w:val="both"/>
        <w:rPr>
          <w:rFonts w:ascii="Garamond" w:hAnsi="Garamond"/>
        </w:rPr>
      </w:pPr>
    </w:p>
    <w:p w14:paraId="027B1529" w14:textId="55E105DC" w:rsidR="00CA7929" w:rsidRDefault="00DB5B25" w:rsidP="00DB5B25">
      <w:pPr>
        <w:jc w:val="both"/>
        <w:rPr>
          <w:rFonts w:ascii="Garamond" w:hAnsi="Garamond"/>
          <w:b/>
          <w:bCs/>
        </w:rPr>
      </w:pPr>
      <w:r>
        <w:rPr>
          <w:rFonts w:ascii="Garamond" w:hAnsi="Garamond"/>
          <w:b/>
          <w:bCs/>
        </w:rPr>
        <w:t>3. 1</w:t>
      </w:r>
      <w:r>
        <w:rPr>
          <w:rFonts w:ascii="Garamond" w:hAnsi="Garamond"/>
          <w:b/>
          <w:bCs/>
        </w:rPr>
        <w:tab/>
      </w:r>
      <w:r w:rsidR="00CA7929">
        <w:rPr>
          <w:rFonts w:ascii="Garamond" w:hAnsi="Garamond"/>
          <w:b/>
          <w:bCs/>
        </w:rPr>
        <w:t>E</w:t>
      </w:r>
      <w:r w:rsidR="00860B6F">
        <w:rPr>
          <w:rFonts w:ascii="Garamond" w:hAnsi="Garamond"/>
          <w:b/>
          <w:bCs/>
        </w:rPr>
        <w:t>vent Study Design</w:t>
      </w:r>
    </w:p>
    <w:p w14:paraId="12553774" w14:textId="77777777" w:rsidR="00860B6F" w:rsidRDefault="00860B6F" w:rsidP="00DB5B25">
      <w:pPr>
        <w:jc w:val="both"/>
        <w:rPr>
          <w:rFonts w:ascii="Garamond" w:hAnsi="Garamond"/>
          <w:b/>
          <w:bCs/>
        </w:rPr>
      </w:pPr>
    </w:p>
    <w:p w14:paraId="5E7CFB25" w14:textId="35643FA0" w:rsidR="00CA7929" w:rsidRDefault="00CA7929" w:rsidP="00E76BC4">
      <w:pPr>
        <w:ind w:firstLine="851"/>
        <w:jc w:val="both"/>
        <w:rPr>
          <w:rFonts w:ascii="Garamond" w:hAnsi="Garamond"/>
        </w:rPr>
      </w:pPr>
      <w:r w:rsidRPr="00CA7929">
        <w:rPr>
          <w:rFonts w:ascii="Garamond" w:hAnsi="Garamond"/>
        </w:rPr>
        <w:t xml:space="preserve">In line with </w:t>
      </w:r>
      <w:r w:rsidRPr="00CA7929">
        <w:rPr>
          <w:rFonts w:ascii="Garamond" w:hAnsi="Garamond"/>
          <w:color w:val="4F81BD" w:themeColor="accent1"/>
        </w:rPr>
        <w:fldChar w:fldCharType="begin"/>
      </w:r>
      <w:r w:rsidR="00825C8F">
        <w:rPr>
          <w:rFonts w:ascii="Garamond" w:hAnsi="Garamond"/>
          <w:color w:val="4F81BD" w:themeColor="accent1"/>
        </w:rPr>
        <w:instrText xml:space="preserve"> ADDIN ZOTERO_ITEM CSL_CITATION {"citationID":"vu3NIAqu","properties":{"formattedCitation":"(Peterson, 1989)","plainCitation":"(Peterson, 1989)","dontUpdate":true,"noteIndex":0},"citationItems":[{"id":100,"uris":["http://zotero.org/users/local/1Z4MS4c2/items/K4RJPURK"],"itemData":{"id":100,"type":"article-journal","abstract":"[Event study methodology has been one of the most frequently used tools in financial research in recent years. This study provides a review of the present state of knowledge and practice with respect to event study methodology. Many variations of this methodology are discussed, as well as special issues and applications. Recommendations for implementing an event study also are provided.]","container-title":"Quarterly Journal of Business and Economics","ISSN":"07475535","issue":"3","note":"publisher: University of Nebraska-Lincoln College of Business Administration","page":"36-66","title":"Event Studies: A Review of Issues and Methodology","volume":"28","author":[{"family":"Peterson","given":"Pamela P."}],"issued":{"date-parts":[["1989"]]}}}],"schema":"https://github.com/citation-style-language/schema/raw/master/csl-citation.json"} </w:instrText>
      </w:r>
      <w:r w:rsidRPr="00CA7929">
        <w:rPr>
          <w:rFonts w:ascii="Garamond" w:hAnsi="Garamond"/>
          <w:color w:val="4F81BD" w:themeColor="accent1"/>
        </w:rPr>
        <w:fldChar w:fldCharType="separate"/>
      </w:r>
      <w:r w:rsidRPr="00CA7929">
        <w:rPr>
          <w:rFonts w:ascii="Garamond" w:hAnsi="Garamond"/>
          <w:color w:val="4F81BD" w:themeColor="accent1"/>
        </w:rPr>
        <w:t>Peterson (1989)</w:t>
      </w:r>
      <w:r w:rsidRPr="00CA7929">
        <w:rPr>
          <w:rFonts w:ascii="Garamond" w:hAnsi="Garamond"/>
          <w:color w:val="4F81BD" w:themeColor="accent1"/>
        </w:rPr>
        <w:fldChar w:fldCharType="end"/>
      </w:r>
      <w:r w:rsidRPr="00CA7929">
        <w:rPr>
          <w:rFonts w:ascii="Garamond" w:hAnsi="Garamond"/>
        </w:rPr>
        <w:t>, there is no universal rule regarding the length of the estimation period and event window in event studies, so these choices should be guided by prior literature and the nature of the event. This research adopts an estimation window of −120 to −11 trading days before the first event date, following</w:t>
      </w:r>
      <w:r>
        <w:rPr>
          <w:rFonts w:ascii="Garamond" w:hAnsi="Garamond"/>
        </w:rPr>
        <w:t xml:space="preserve"> </w:t>
      </w:r>
      <w:r w:rsidRPr="00CA7929">
        <w:rPr>
          <w:rFonts w:ascii="Garamond" w:hAnsi="Garamond"/>
          <w:color w:val="4F81BD" w:themeColor="accent1"/>
        </w:rPr>
        <w:fldChar w:fldCharType="begin"/>
      </w:r>
      <w:r w:rsidR="00FD6A21">
        <w:rPr>
          <w:rFonts w:ascii="Garamond" w:hAnsi="Garamond"/>
          <w:color w:val="4F81BD" w:themeColor="accent1"/>
        </w:rPr>
        <w:instrText xml:space="preserve"> ADDIN ZOTERO_ITEM CSL_CITATION {"citationID":"vPhP8QYh","properties":{"formattedCitation":"(Rao et al., 2025)","plainCitation":"(Rao et al., 2025)","dontUpdate":true,"noteIndex":0},"citationItems":[{"id":12,"uris":["http://zotero.org/users/local/1Z4MS4c2/items/F7TKM7G3"],"itemData":{"id":12,"type":"article-journal","abstract":"This study examines the financial market response to the U.S. tariff announcement on February 1, 2025, which imposed a 25 % tariff on imports from Mexico and Canada (except energy products at 10 %) and a 10 % tariff on China. The results reveal asymmetric market reactions: trade-deficit countries, which faced direct tariff impositions, exhibited muted and mixed responses, suggesting that investors had already priced in potential trade frictions or expected policy reversals. In contrast, trade-surplus countries experienced significant positive CAARs, reflecting investor optimism about potential trade reallocation benefits.","container-title":"Finance Research Letters","DOI":"10.1016/j.frl.2025.107465","ISSN":"15446123","journalAbbreviation":"Finance Research Letters","language":"en","page":"107465","source":"DOI.org (Crossref)","title":"Financial market reactions to U.S. tariff announcements: Evidence from trade-surplus and trade-deficit countries","title-short":"Financial market reactions to U.S. tariff announcements","volume":"81","author":[{"family":"Rao","given":"Amar"},{"family":"Lucey","given":"Brian"},{"family":"Kumar","given":"Satish"}],"issued":{"date-parts":[["2025",7]]}}}],"schema":"https://github.com/citation-style-language/schema/raw/master/csl-citation.json"} </w:instrText>
      </w:r>
      <w:r w:rsidRPr="00CA7929">
        <w:rPr>
          <w:rFonts w:ascii="Garamond" w:hAnsi="Garamond"/>
          <w:color w:val="4F81BD" w:themeColor="accent1"/>
        </w:rPr>
        <w:fldChar w:fldCharType="separate"/>
      </w:r>
      <w:r w:rsidRPr="00CA7929">
        <w:rPr>
          <w:rFonts w:ascii="Garamond" w:hAnsi="Garamond"/>
          <w:color w:val="4F81BD" w:themeColor="accent1"/>
        </w:rPr>
        <w:t>Rao et al. (2025)</w:t>
      </w:r>
      <w:r w:rsidRPr="00CA7929">
        <w:rPr>
          <w:rFonts w:ascii="Garamond" w:hAnsi="Garamond"/>
          <w:color w:val="4F81BD" w:themeColor="accent1"/>
        </w:rPr>
        <w:fldChar w:fldCharType="end"/>
      </w:r>
      <w:r>
        <w:rPr>
          <w:rFonts w:ascii="Garamond" w:hAnsi="Garamond"/>
        </w:rPr>
        <w:t xml:space="preserve">, </w:t>
      </w:r>
      <w:r w:rsidRPr="00CA7929">
        <w:rPr>
          <w:rFonts w:ascii="Garamond" w:hAnsi="Garamond"/>
        </w:rPr>
        <w:t>to estimate normal returns in a period considered free from the influence of the tariff announcements. The event window is set from t0 to t+3, that is, four trading days starting from the event date and extending three days after, consistent with</w:t>
      </w:r>
      <w:r>
        <w:rPr>
          <w:rFonts w:ascii="Garamond" w:hAnsi="Garamond"/>
        </w:rPr>
        <w:t xml:space="preserve"> </w:t>
      </w:r>
      <w:r w:rsidRPr="00CA7929">
        <w:rPr>
          <w:rFonts w:ascii="Garamond" w:hAnsi="Garamond"/>
          <w:color w:val="4F81BD" w:themeColor="accent1"/>
        </w:rPr>
        <w:fldChar w:fldCharType="begin"/>
      </w:r>
      <w:r w:rsidR="00FD6A21">
        <w:rPr>
          <w:rFonts w:ascii="Garamond" w:hAnsi="Garamond"/>
          <w:color w:val="4F81BD" w:themeColor="accent1"/>
        </w:rPr>
        <w:instrText xml:space="preserve"> ADDIN ZOTERO_ITEM CSL_CITATION {"citationID":"s5vPmxrO","properties":{"formattedCitation":"(Kaczmarek et al., 2025)","plainCitation":"(Kaczmarek et al., 2025)","dontUpdate":true,"noteIndex":0},"citationItems":[{"id":7,"uris":["http://zotero.org/users/local/1Z4MS4c2/items/8P6KAR9D"],"itemData":{"id":7,"type":"article-journal","abstract":"We study initial global equity market reactions to the reciprocal tariffs announced by the U.S. President Donald Trump on April 2, 2025. Using daily returns from 67 countries, we find a sharp and widespread decline in stock prices over the four-day window following the announcement. Market reactions varied across countries. Markets with higher trade exposure and those running trade surpluses experienced larger declines, suggesting that more open economies were perceived as more vulnerable to future trade frictions. In addition, larger markets and countries with higher unemployment or inflation faced steeper losses — likely due to concerns over export competitiveness or macroeconomic fragility. In contrast, countries with stronger GDP growth were more resilient. These findings suggest that investor reactions were shaped by a combination of direct trade exposure and broader structural factors linked to long-term vulnerability.","container-title":"Finance Research Letters","DOI":"10.1016/j.frl.2025.108080","ISSN":"15446123","journalAbbreviation":"Finance Research Letters","language":"en","page":"108080","source":"DOI.org (Crossref)","title":"Tariffs announcement as a global stress test: Early stock market reactions to U.S. protectionism","title-short":"Tariffs announcement as a global stress test","volume":"85","author":[{"family":"Kaczmarek","given":"Tomasz"},{"family":"Demir","given":"Ender"},{"family":"Rouatbi","given":"Wael"},{"family":"Zaremba","given":"Adam"}],"issued":{"date-parts":[["2025",11]]}}}],"schema":"https://github.com/citation-style-language/schema/raw/master/csl-citation.json"} </w:instrText>
      </w:r>
      <w:r w:rsidRPr="00CA7929">
        <w:rPr>
          <w:rFonts w:ascii="Garamond" w:hAnsi="Garamond"/>
          <w:color w:val="4F81BD" w:themeColor="accent1"/>
        </w:rPr>
        <w:fldChar w:fldCharType="separate"/>
      </w:r>
      <w:r w:rsidRPr="00CA7929">
        <w:rPr>
          <w:rFonts w:ascii="Garamond" w:hAnsi="Garamond"/>
          <w:color w:val="4F81BD" w:themeColor="accent1"/>
        </w:rPr>
        <w:t>Kaczmarek et al., (2025)</w:t>
      </w:r>
      <w:r w:rsidRPr="00CA7929">
        <w:rPr>
          <w:rFonts w:ascii="Garamond" w:hAnsi="Garamond"/>
          <w:color w:val="4F81BD" w:themeColor="accent1"/>
        </w:rPr>
        <w:fldChar w:fldCharType="end"/>
      </w:r>
      <w:r>
        <w:rPr>
          <w:rFonts w:ascii="Garamond" w:hAnsi="Garamond"/>
        </w:rPr>
        <w:t xml:space="preserve">, </w:t>
      </w:r>
      <w:r w:rsidRPr="00CA7929">
        <w:rPr>
          <w:rFonts w:ascii="Garamond" w:hAnsi="Garamond"/>
        </w:rPr>
        <w:t>to capture the immediate market reaction around each announcement. Due to time zone differences between the United States and ASEAN markets, the effective event date for each market is defined as one trading day after the calendar date of the U.S. announcement, when the information becomes tradable in ASEAN stock exchanges.</w:t>
      </w:r>
    </w:p>
    <w:p w14:paraId="48E6C724" w14:textId="564301F2" w:rsidR="00CA7929" w:rsidRPr="00492D4C" w:rsidRDefault="00CA7929" w:rsidP="00CA7929">
      <w:pPr>
        <w:spacing w:after="160"/>
        <w:contextualSpacing/>
        <w:jc w:val="center"/>
        <w:rPr>
          <w:rFonts w:ascii="Garamond" w:hAnsi="Garamond"/>
          <w:b/>
          <w:bCs/>
        </w:rPr>
      </w:pPr>
      <w:r w:rsidRPr="00492D4C">
        <w:rPr>
          <w:rFonts w:ascii="Garamond" w:hAnsi="Garamond"/>
          <w:b/>
          <w:bCs/>
        </w:rPr>
        <w:t xml:space="preserve">Table </w:t>
      </w:r>
      <w:r w:rsidR="00247575">
        <w:rPr>
          <w:rFonts w:ascii="Garamond" w:hAnsi="Garamond"/>
          <w:b/>
          <w:bCs/>
        </w:rPr>
        <w:t>II</w:t>
      </w:r>
      <w:r w:rsidRPr="00492D4C">
        <w:rPr>
          <w:rFonts w:ascii="Garamond" w:hAnsi="Garamond"/>
          <w:b/>
          <w:bCs/>
        </w:rPr>
        <w:t>.</w:t>
      </w:r>
      <w:r>
        <w:rPr>
          <w:rFonts w:ascii="Garamond" w:hAnsi="Garamond"/>
          <w:b/>
          <w:bCs/>
        </w:rPr>
        <w:t xml:space="preserve"> Time Zone difference between USA and ASEAN Region</w:t>
      </w:r>
      <w:r w:rsidRPr="00492D4C">
        <w:rPr>
          <w:rFonts w:ascii="Garamond" w:hAnsi="Garamond"/>
          <w:b/>
          <w:bCs/>
        </w:rPr>
        <w:t xml:space="preserve"> </w:t>
      </w:r>
    </w:p>
    <w:p w14:paraId="58727CE1" w14:textId="77777777" w:rsidR="00CA7929" w:rsidRPr="00492D4C" w:rsidRDefault="00CA7929" w:rsidP="00CA7929">
      <w:pPr>
        <w:spacing w:after="160"/>
        <w:contextualSpacing/>
        <w:rPr>
          <w:rFonts w:ascii="Garamond" w:hAnsi="Garamond"/>
          <w:b/>
          <w:bCs/>
        </w:rPr>
      </w:pPr>
    </w:p>
    <w:tbl>
      <w:tblPr>
        <w:tblStyle w:val="PlainTable1"/>
        <w:tblW w:w="0" w:type="auto"/>
        <w:jc w:val="center"/>
        <w:tblLook w:val="04A0" w:firstRow="1" w:lastRow="0" w:firstColumn="1" w:lastColumn="0" w:noHBand="0" w:noVBand="1"/>
      </w:tblPr>
      <w:tblGrid>
        <w:gridCol w:w="717"/>
        <w:gridCol w:w="2337"/>
        <w:gridCol w:w="2627"/>
      </w:tblGrid>
      <w:tr w:rsidR="00CA7929" w:rsidRPr="00492D4C" w14:paraId="24E2125A" w14:textId="77777777" w:rsidTr="009B55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2DA48C" w14:textId="67344CB1" w:rsidR="00CA7929" w:rsidRPr="00233856" w:rsidRDefault="00AD2949" w:rsidP="009B5588">
            <w:pPr>
              <w:spacing w:after="160"/>
              <w:contextualSpacing/>
              <w:jc w:val="both"/>
              <w:rPr>
                <w:rFonts w:ascii="Garamond" w:hAnsi="Garamond"/>
                <w:sz w:val="20"/>
                <w:szCs w:val="20"/>
              </w:rPr>
            </w:pPr>
            <w:r>
              <w:rPr>
                <w:rFonts w:ascii="Garamond" w:hAnsi="Garamond"/>
                <w:sz w:val="20"/>
                <w:szCs w:val="20"/>
              </w:rPr>
              <w:t>Event</w:t>
            </w:r>
          </w:p>
        </w:tc>
        <w:tc>
          <w:tcPr>
            <w:tcW w:w="0" w:type="auto"/>
            <w:hideMark/>
          </w:tcPr>
          <w:p w14:paraId="610E5C69" w14:textId="076A95F3" w:rsidR="00CA7929" w:rsidRPr="00233856" w:rsidRDefault="00CA7929" w:rsidP="009B558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USA</w:t>
            </w:r>
          </w:p>
        </w:tc>
        <w:tc>
          <w:tcPr>
            <w:tcW w:w="0" w:type="auto"/>
            <w:hideMark/>
          </w:tcPr>
          <w:p w14:paraId="7EFC01E8" w14:textId="7A092A8A" w:rsidR="00CA7929" w:rsidRPr="00233856" w:rsidRDefault="003F3A81" w:rsidP="009B558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 xml:space="preserve">ASEAN </w:t>
            </w:r>
          </w:p>
        </w:tc>
      </w:tr>
      <w:tr w:rsidR="00CA7929" w:rsidRPr="00492D4C" w14:paraId="0E4CE89A" w14:textId="77777777" w:rsidTr="009B55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E6BDEC" w14:textId="77777777" w:rsidR="00CA7929" w:rsidRPr="00233856" w:rsidRDefault="00CA7929" w:rsidP="009B5588">
            <w:pPr>
              <w:spacing w:after="160"/>
              <w:contextualSpacing/>
              <w:jc w:val="both"/>
              <w:rPr>
                <w:rFonts w:ascii="Garamond" w:hAnsi="Garamond"/>
                <w:sz w:val="20"/>
                <w:szCs w:val="20"/>
              </w:rPr>
            </w:pPr>
            <w:r w:rsidRPr="00233856">
              <w:rPr>
                <w:rFonts w:ascii="Garamond" w:hAnsi="Garamond"/>
                <w:sz w:val="20"/>
                <w:szCs w:val="20"/>
              </w:rPr>
              <w:t>1</w:t>
            </w:r>
          </w:p>
        </w:tc>
        <w:tc>
          <w:tcPr>
            <w:tcW w:w="0" w:type="auto"/>
            <w:hideMark/>
          </w:tcPr>
          <w:p w14:paraId="2210B531" w14:textId="22E2E53E" w:rsidR="00CA7929" w:rsidRPr="00233856" w:rsidRDefault="003F3A81" w:rsidP="009B5588">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F3A81">
              <w:rPr>
                <w:rFonts w:ascii="Garamond" w:hAnsi="Garamond"/>
                <w:sz w:val="20"/>
                <w:szCs w:val="20"/>
              </w:rPr>
              <w:t>20:00 UTC, 2</w:t>
            </w:r>
            <w:r>
              <w:rPr>
                <w:rFonts w:ascii="Garamond" w:hAnsi="Garamond"/>
                <w:sz w:val="20"/>
                <w:szCs w:val="20"/>
              </w:rPr>
              <w:t>nd</w:t>
            </w:r>
            <w:r w:rsidRPr="003F3A81">
              <w:rPr>
                <w:rFonts w:ascii="Garamond" w:hAnsi="Garamond"/>
                <w:sz w:val="20"/>
                <w:szCs w:val="20"/>
              </w:rPr>
              <w:t xml:space="preserve"> April 2025</w:t>
            </w:r>
          </w:p>
        </w:tc>
        <w:tc>
          <w:tcPr>
            <w:tcW w:w="0" w:type="auto"/>
            <w:hideMark/>
          </w:tcPr>
          <w:p w14:paraId="7603E3F3" w14:textId="5C874DF2" w:rsidR="00CA7929" w:rsidRPr="00233856" w:rsidRDefault="003F3A81" w:rsidP="009B5588">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0</w:t>
            </w:r>
            <w:r w:rsidRPr="003F3A81">
              <w:rPr>
                <w:rFonts w:ascii="Garamond" w:hAnsi="Garamond"/>
                <w:sz w:val="20"/>
                <w:szCs w:val="20"/>
              </w:rPr>
              <w:t xml:space="preserve">2:30 </w:t>
            </w:r>
            <w:r>
              <w:rPr>
                <w:rFonts w:ascii="Garamond" w:hAnsi="Garamond"/>
                <w:sz w:val="20"/>
                <w:szCs w:val="20"/>
              </w:rPr>
              <w:t>to 0</w:t>
            </w:r>
            <w:r w:rsidRPr="003F3A81">
              <w:rPr>
                <w:rFonts w:ascii="Garamond" w:hAnsi="Garamond"/>
                <w:sz w:val="20"/>
                <w:szCs w:val="20"/>
              </w:rPr>
              <w:t>5:00</w:t>
            </w:r>
            <w:r>
              <w:rPr>
                <w:rFonts w:ascii="Garamond" w:hAnsi="Garamond"/>
                <w:sz w:val="20"/>
                <w:szCs w:val="20"/>
              </w:rPr>
              <w:t>,</w:t>
            </w:r>
            <w:r w:rsidRPr="003F3A81">
              <w:rPr>
                <w:rFonts w:ascii="Garamond" w:hAnsi="Garamond"/>
                <w:sz w:val="20"/>
                <w:szCs w:val="20"/>
              </w:rPr>
              <w:t xml:space="preserve"> 3</w:t>
            </w:r>
            <w:r>
              <w:rPr>
                <w:rFonts w:ascii="Garamond" w:hAnsi="Garamond"/>
                <w:sz w:val="20"/>
                <w:szCs w:val="20"/>
              </w:rPr>
              <w:t>rd</w:t>
            </w:r>
            <w:r w:rsidRPr="003F3A81">
              <w:rPr>
                <w:rFonts w:ascii="Garamond" w:hAnsi="Garamond"/>
                <w:sz w:val="20"/>
                <w:szCs w:val="20"/>
              </w:rPr>
              <w:t xml:space="preserve"> April 2025</w:t>
            </w:r>
          </w:p>
        </w:tc>
      </w:tr>
      <w:tr w:rsidR="00CA7929" w:rsidRPr="00492D4C" w14:paraId="2CF96D94" w14:textId="77777777" w:rsidTr="009B558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841138" w14:textId="77777777" w:rsidR="00CA7929" w:rsidRPr="00233856" w:rsidRDefault="00CA7929" w:rsidP="009B5588">
            <w:pPr>
              <w:spacing w:after="160"/>
              <w:contextualSpacing/>
              <w:jc w:val="both"/>
              <w:rPr>
                <w:rFonts w:ascii="Garamond" w:hAnsi="Garamond"/>
                <w:sz w:val="20"/>
                <w:szCs w:val="20"/>
              </w:rPr>
            </w:pPr>
            <w:r w:rsidRPr="00233856">
              <w:rPr>
                <w:rFonts w:ascii="Garamond" w:hAnsi="Garamond"/>
                <w:sz w:val="20"/>
                <w:szCs w:val="20"/>
              </w:rPr>
              <w:t>2</w:t>
            </w:r>
          </w:p>
        </w:tc>
        <w:tc>
          <w:tcPr>
            <w:tcW w:w="0" w:type="auto"/>
            <w:hideMark/>
          </w:tcPr>
          <w:p w14:paraId="609570CD" w14:textId="06054635" w:rsidR="00CA7929" w:rsidRPr="00233856" w:rsidRDefault="003F3A81" w:rsidP="009B5588">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3F3A81">
              <w:rPr>
                <w:rFonts w:ascii="Garamond" w:hAnsi="Garamond"/>
                <w:sz w:val="20"/>
                <w:szCs w:val="20"/>
              </w:rPr>
              <w:t>17:27 UTC, 9</w:t>
            </w:r>
            <w:r>
              <w:rPr>
                <w:rFonts w:ascii="Garamond" w:hAnsi="Garamond"/>
                <w:sz w:val="20"/>
                <w:szCs w:val="20"/>
              </w:rPr>
              <w:t>nd</w:t>
            </w:r>
            <w:r w:rsidRPr="003F3A81">
              <w:rPr>
                <w:rFonts w:ascii="Garamond" w:hAnsi="Garamond"/>
                <w:sz w:val="20"/>
                <w:szCs w:val="20"/>
              </w:rPr>
              <w:t xml:space="preserve"> Apr</w:t>
            </w:r>
            <w:r>
              <w:rPr>
                <w:rFonts w:ascii="Garamond" w:hAnsi="Garamond"/>
                <w:sz w:val="20"/>
                <w:szCs w:val="20"/>
              </w:rPr>
              <w:t>il</w:t>
            </w:r>
            <w:r w:rsidRPr="003F3A81">
              <w:rPr>
                <w:rFonts w:ascii="Garamond" w:hAnsi="Garamond"/>
                <w:sz w:val="20"/>
                <w:szCs w:val="20"/>
              </w:rPr>
              <w:t xml:space="preserve"> 2025</w:t>
            </w:r>
          </w:p>
        </w:tc>
        <w:tc>
          <w:tcPr>
            <w:tcW w:w="0" w:type="auto"/>
            <w:hideMark/>
          </w:tcPr>
          <w:p w14:paraId="6015520C" w14:textId="472F5013" w:rsidR="00CA7929" w:rsidRPr="00233856" w:rsidRDefault="003F3A81" w:rsidP="009B5588">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3F3A81">
              <w:rPr>
                <w:rFonts w:ascii="Garamond" w:hAnsi="Garamond"/>
                <w:sz w:val="20"/>
                <w:szCs w:val="20"/>
              </w:rPr>
              <w:t xml:space="preserve">23:57 </w:t>
            </w:r>
            <w:r>
              <w:rPr>
                <w:rFonts w:ascii="Garamond" w:hAnsi="Garamond"/>
                <w:sz w:val="20"/>
                <w:szCs w:val="20"/>
              </w:rPr>
              <w:t>to</w:t>
            </w:r>
            <w:r w:rsidRPr="003F3A81">
              <w:rPr>
                <w:rFonts w:ascii="Garamond" w:hAnsi="Garamond"/>
                <w:sz w:val="20"/>
                <w:szCs w:val="20"/>
              </w:rPr>
              <w:t xml:space="preserve"> </w:t>
            </w:r>
            <w:r>
              <w:rPr>
                <w:rFonts w:ascii="Garamond" w:hAnsi="Garamond"/>
                <w:sz w:val="20"/>
                <w:szCs w:val="20"/>
              </w:rPr>
              <w:t>0</w:t>
            </w:r>
            <w:r w:rsidRPr="003F3A81">
              <w:rPr>
                <w:rFonts w:ascii="Garamond" w:hAnsi="Garamond"/>
                <w:sz w:val="20"/>
                <w:szCs w:val="20"/>
              </w:rPr>
              <w:t>2:27</w:t>
            </w:r>
            <w:r>
              <w:rPr>
                <w:rFonts w:ascii="Garamond" w:hAnsi="Garamond"/>
                <w:sz w:val="20"/>
                <w:szCs w:val="20"/>
              </w:rPr>
              <w:t>,</w:t>
            </w:r>
            <w:r w:rsidRPr="003F3A81">
              <w:rPr>
                <w:rFonts w:ascii="Garamond" w:hAnsi="Garamond"/>
                <w:sz w:val="20"/>
                <w:szCs w:val="20"/>
              </w:rPr>
              <w:t xml:space="preserve"> 10</w:t>
            </w:r>
            <w:r>
              <w:rPr>
                <w:rFonts w:ascii="Garamond" w:hAnsi="Garamond"/>
                <w:sz w:val="20"/>
                <w:szCs w:val="20"/>
              </w:rPr>
              <w:t>th</w:t>
            </w:r>
            <w:r w:rsidRPr="003F3A81">
              <w:rPr>
                <w:rFonts w:ascii="Garamond" w:hAnsi="Garamond"/>
                <w:sz w:val="20"/>
                <w:szCs w:val="20"/>
              </w:rPr>
              <w:t xml:space="preserve"> April 2025</w:t>
            </w:r>
          </w:p>
        </w:tc>
      </w:tr>
      <w:tr w:rsidR="00CA7929" w:rsidRPr="00492D4C" w14:paraId="3405BB3D" w14:textId="77777777" w:rsidTr="009B55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7ED8AB9" w14:textId="77777777" w:rsidR="00CA7929" w:rsidRPr="00233856" w:rsidRDefault="00CA7929" w:rsidP="009B5588">
            <w:pPr>
              <w:spacing w:after="160"/>
              <w:contextualSpacing/>
              <w:jc w:val="both"/>
              <w:rPr>
                <w:rFonts w:ascii="Garamond" w:hAnsi="Garamond"/>
                <w:sz w:val="20"/>
                <w:szCs w:val="20"/>
              </w:rPr>
            </w:pPr>
            <w:r w:rsidRPr="00233856">
              <w:rPr>
                <w:rFonts w:ascii="Garamond" w:hAnsi="Garamond"/>
                <w:sz w:val="20"/>
                <w:szCs w:val="20"/>
              </w:rPr>
              <w:t>3</w:t>
            </w:r>
          </w:p>
        </w:tc>
        <w:tc>
          <w:tcPr>
            <w:tcW w:w="0" w:type="auto"/>
          </w:tcPr>
          <w:p w14:paraId="6EEFD1BE" w14:textId="77682007" w:rsidR="00CA7929" w:rsidRPr="00233856" w:rsidRDefault="003F3A81" w:rsidP="009B5588">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F3A81">
              <w:rPr>
                <w:rFonts w:ascii="Garamond" w:hAnsi="Garamond"/>
                <w:sz w:val="20"/>
                <w:szCs w:val="20"/>
              </w:rPr>
              <w:t>23:15 UTC, 31</w:t>
            </w:r>
            <w:r>
              <w:rPr>
                <w:rFonts w:ascii="Garamond" w:hAnsi="Garamond"/>
                <w:sz w:val="20"/>
                <w:szCs w:val="20"/>
              </w:rPr>
              <w:t>st</w:t>
            </w:r>
            <w:r w:rsidRPr="003F3A81">
              <w:rPr>
                <w:rFonts w:ascii="Garamond" w:hAnsi="Garamond"/>
                <w:sz w:val="20"/>
                <w:szCs w:val="20"/>
              </w:rPr>
              <w:t xml:space="preserve"> Jul</w:t>
            </w:r>
            <w:r>
              <w:rPr>
                <w:rFonts w:ascii="Garamond" w:hAnsi="Garamond"/>
                <w:sz w:val="20"/>
                <w:szCs w:val="20"/>
              </w:rPr>
              <w:t>y</w:t>
            </w:r>
            <w:r w:rsidRPr="003F3A81">
              <w:rPr>
                <w:rFonts w:ascii="Garamond" w:hAnsi="Garamond"/>
                <w:sz w:val="20"/>
                <w:szCs w:val="20"/>
              </w:rPr>
              <w:t xml:space="preserve"> 2025</w:t>
            </w:r>
          </w:p>
        </w:tc>
        <w:tc>
          <w:tcPr>
            <w:tcW w:w="0" w:type="auto"/>
          </w:tcPr>
          <w:p w14:paraId="014E4DA7" w14:textId="50CB380C" w:rsidR="00CA7929" w:rsidRPr="00233856" w:rsidRDefault="003F3A81" w:rsidP="009B5588">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0</w:t>
            </w:r>
            <w:r w:rsidRPr="003F3A81">
              <w:rPr>
                <w:rFonts w:ascii="Garamond" w:hAnsi="Garamond"/>
                <w:sz w:val="20"/>
                <w:szCs w:val="20"/>
              </w:rPr>
              <w:t xml:space="preserve">4:45 </w:t>
            </w:r>
            <w:r>
              <w:rPr>
                <w:rFonts w:ascii="Garamond" w:hAnsi="Garamond"/>
                <w:sz w:val="20"/>
                <w:szCs w:val="20"/>
              </w:rPr>
              <w:t>to</w:t>
            </w:r>
            <w:r w:rsidRPr="003F3A81">
              <w:rPr>
                <w:rFonts w:ascii="Garamond" w:hAnsi="Garamond"/>
                <w:sz w:val="20"/>
                <w:szCs w:val="20"/>
              </w:rPr>
              <w:t xml:space="preserve"> </w:t>
            </w:r>
            <w:r>
              <w:rPr>
                <w:rFonts w:ascii="Garamond" w:hAnsi="Garamond"/>
                <w:sz w:val="20"/>
                <w:szCs w:val="20"/>
              </w:rPr>
              <w:t>0</w:t>
            </w:r>
            <w:r w:rsidRPr="003F3A81">
              <w:rPr>
                <w:rFonts w:ascii="Garamond" w:hAnsi="Garamond"/>
                <w:sz w:val="20"/>
                <w:szCs w:val="20"/>
              </w:rPr>
              <w:t xml:space="preserve">7:15 </w:t>
            </w:r>
            <w:r>
              <w:rPr>
                <w:rFonts w:ascii="Garamond" w:hAnsi="Garamond"/>
                <w:sz w:val="20"/>
                <w:szCs w:val="20"/>
              </w:rPr>
              <w:t>1st August</w:t>
            </w:r>
            <w:r w:rsidRPr="003F3A81">
              <w:rPr>
                <w:rFonts w:ascii="Garamond" w:hAnsi="Garamond"/>
                <w:sz w:val="20"/>
                <w:szCs w:val="20"/>
              </w:rPr>
              <w:t xml:space="preserve"> 2025</w:t>
            </w:r>
          </w:p>
        </w:tc>
      </w:tr>
    </w:tbl>
    <w:p w14:paraId="5AAFCAAF" w14:textId="078634B0" w:rsidR="003F3A81" w:rsidRPr="00361EEF" w:rsidRDefault="00CA7929" w:rsidP="003F3A81">
      <w:pPr>
        <w:jc w:val="both"/>
        <w:rPr>
          <w:rFonts w:ascii="Garamond" w:hAnsi="Garamond"/>
          <w:i/>
          <w:iCs/>
        </w:rPr>
      </w:pPr>
      <w:r w:rsidRPr="00492D4C">
        <w:rPr>
          <w:rFonts w:ascii="Garamond" w:hAnsi="Garamond"/>
          <w:b/>
          <w:bCs/>
          <w:i/>
          <w:iCs/>
        </w:rPr>
        <w:t>Source:</w:t>
      </w:r>
      <w:r w:rsidRPr="00492D4C">
        <w:rPr>
          <w:rFonts w:ascii="Garamond" w:hAnsi="Garamond"/>
          <w:i/>
          <w:iCs/>
        </w:rPr>
        <w:t xml:space="preserve"> </w:t>
      </w:r>
      <w:r w:rsidR="003F3A81" w:rsidRPr="003F3A81">
        <w:rPr>
          <w:rFonts w:ascii="Garamond" w:hAnsi="Garamond"/>
          <w:i/>
          <w:iCs/>
        </w:rPr>
        <w:t>Processed by the author</w:t>
      </w:r>
      <w:r w:rsidR="003F3A81">
        <w:rPr>
          <w:rFonts w:ascii="Garamond" w:hAnsi="Garamond"/>
          <w:i/>
          <w:iCs/>
        </w:rPr>
        <w:t xml:space="preserve"> (2025)</w:t>
      </w:r>
    </w:p>
    <w:p w14:paraId="5428E198" w14:textId="6937417D" w:rsidR="003F3A81" w:rsidRDefault="003F3A81" w:rsidP="003F3A81">
      <w:pPr>
        <w:jc w:val="both"/>
        <w:rPr>
          <w:rFonts w:ascii="Garamond" w:hAnsi="Garamond"/>
          <w:b/>
          <w:bCs/>
        </w:rPr>
      </w:pPr>
      <w:r>
        <w:rPr>
          <w:rFonts w:ascii="Garamond" w:hAnsi="Garamond"/>
          <w:b/>
          <w:bCs/>
        </w:rPr>
        <w:t>3. 2</w:t>
      </w:r>
      <w:r>
        <w:rPr>
          <w:rFonts w:ascii="Garamond" w:hAnsi="Garamond"/>
          <w:b/>
          <w:bCs/>
        </w:rPr>
        <w:tab/>
      </w:r>
      <w:r w:rsidR="00860B6F">
        <w:rPr>
          <w:rFonts w:ascii="Garamond" w:hAnsi="Garamond"/>
          <w:b/>
          <w:bCs/>
        </w:rPr>
        <w:t>Data Analysis Techniques</w:t>
      </w:r>
    </w:p>
    <w:p w14:paraId="10E8AC65" w14:textId="77777777" w:rsidR="00361EEF" w:rsidRDefault="00361EEF" w:rsidP="003F3A81">
      <w:pPr>
        <w:jc w:val="both"/>
        <w:rPr>
          <w:rFonts w:ascii="Garamond" w:hAnsi="Garamond"/>
          <w:b/>
          <w:bCs/>
        </w:rPr>
      </w:pPr>
    </w:p>
    <w:p w14:paraId="06838A3E" w14:textId="5EA13FFB" w:rsidR="00E76BC4" w:rsidRDefault="00E76BC4" w:rsidP="00E76BC4">
      <w:pPr>
        <w:ind w:firstLine="851"/>
        <w:jc w:val="both"/>
        <w:rPr>
          <w:rFonts w:ascii="Garamond" w:hAnsi="Garamond"/>
        </w:rPr>
      </w:pPr>
      <w:r w:rsidRPr="00E76BC4">
        <w:rPr>
          <w:rFonts w:ascii="Garamond" w:hAnsi="Garamond"/>
        </w:rPr>
        <w:t xml:space="preserve">The data analysis in this study is carried out using Statistical Product and Service Solutions (SPSS) version </w:t>
      </w:r>
      <w:r w:rsidR="00E019C6">
        <w:rPr>
          <w:rFonts w:ascii="Garamond" w:hAnsi="Garamond"/>
        </w:rPr>
        <w:t>27</w:t>
      </w:r>
      <w:r w:rsidRPr="00E76BC4">
        <w:rPr>
          <w:rFonts w:ascii="Garamond" w:hAnsi="Garamond"/>
        </w:rPr>
        <w:t xml:space="preserve"> and Microsoft Excel for data processing and computation. The analysis focuses on identifying whether there are significant abnormal returns in each stock index around the three tariff announcement events. Actual returns are computed from daily closing prices, while expected returns are estimated using a mean</w:t>
      </w:r>
      <w:r w:rsidRPr="00E76BC4">
        <w:rPr>
          <w:rFonts w:ascii="Garamond" w:hAnsi="Garamond"/>
        </w:rPr>
        <w:noBreakHyphen/>
        <w:t xml:space="preserve">adjusted model over the estimation window. Abnormal returns </w:t>
      </w:r>
      <w:r w:rsidRPr="00E76BC4">
        <w:rPr>
          <w:rFonts w:ascii="Garamond" w:hAnsi="Garamond"/>
        </w:rPr>
        <w:lastRenderedPageBreak/>
        <w:t>are then obtained as the difference between actual and expected returns for each index and trading day within the event window.</w:t>
      </w:r>
    </w:p>
    <w:p w14:paraId="136D072D" w14:textId="7F5B2085" w:rsidR="00E76BC4" w:rsidRPr="00E76BC4" w:rsidRDefault="00E76BC4" w:rsidP="00E76BC4">
      <w:pPr>
        <w:ind w:firstLine="851"/>
        <w:jc w:val="both"/>
        <w:rPr>
          <w:rFonts w:ascii="Garamond" w:hAnsi="Garamond"/>
        </w:rPr>
      </w:pPr>
      <w:r w:rsidRPr="00E76BC4">
        <w:rPr>
          <w:rFonts w:ascii="Garamond" w:hAnsi="Garamond"/>
        </w:rPr>
        <w:t>The analytical procedure consists of three main stages. First, descriptive analysis is used to summarize the behaviour of abnormal returns across indices and events. Second, normality tests are applied to abnormal return and cumulative abnormal return data to determine the appropriate statistical procedure. Third, hypothesis testing is conducted using a one</w:t>
      </w:r>
      <w:r w:rsidRPr="00E76BC4">
        <w:rPr>
          <w:rFonts w:ascii="Garamond" w:hAnsi="Garamond"/>
        </w:rPr>
        <w:noBreakHyphen/>
        <w:t>sample t</w:t>
      </w:r>
      <w:r w:rsidRPr="00E76BC4">
        <w:rPr>
          <w:rFonts w:ascii="Garamond" w:hAnsi="Garamond"/>
        </w:rPr>
        <w:noBreakHyphen/>
        <w:t>test for normally distributed data and the Wilcoxon signed</w:t>
      </w:r>
      <w:r w:rsidRPr="00E76BC4">
        <w:rPr>
          <w:rFonts w:ascii="Garamond" w:hAnsi="Garamond"/>
        </w:rPr>
        <w:noBreakHyphen/>
        <w:t>rank test for non</w:t>
      </w:r>
      <w:r w:rsidRPr="00E76BC4">
        <w:rPr>
          <w:rFonts w:ascii="Garamond" w:hAnsi="Garamond"/>
        </w:rPr>
        <w:noBreakHyphen/>
        <w:t>normal data to assess whether abnormal returns and cumulative abnormal returns differ significantly from zero around each event date.</w:t>
      </w:r>
    </w:p>
    <w:p w14:paraId="621FFD53" w14:textId="77777777" w:rsidR="00CA7929" w:rsidRPr="00DB5B25" w:rsidRDefault="00CA7929" w:rsidP="00DB5B25">
      <w:pPr>
        <w:jc w:val="both"/>
        <w:rPr>
          <w:rFonts w:ascii="Garamond" w:hAnsi="Garamond"/>
        </w:rPr>
      </w:pPr>
    </w:p>
    <w:p w14:paraId="17BD4EEB" w14:textId="513A455F" w:rsidR="00EB2A16" w:rsidRDefault="004D5B5D" w:rsidP="00150B9E">
      <w:pPr>
        <w:pStyle w:val="ListParagraph"/>
        <w:numPr>
          <w:ilvl w:val="0"/>
          <w:numId w:val="7"/>
        </w:numPr>
        <w:ind w:left="426" w:hanging="426"/>
        <w:jc w:val="both"/>
        <w:rPr>
          <w:rFonts w:ascii="Garamond" w:hAnsi="Garamond"/>
          <w:b/>
          <w:bCs/>
        </w:rPr>
      </w:pPr>
      <w:r>
        <w:rPr>
          <w:rFonts w:ascii="Garamond" w:hAnsi="Garamond"/>
          <w:b/>
          <w:bCs/>
        </w:rPr>
        <w:t>RESULT &amp; DISCUSSION</w:t>
      </w:r>
    </w:p>
    <w:p w14:paraId="2E531F87" w14:textId="77777777" w:rsidR="004D5B5D" w:rsidRPr="004D5B5D" w:rsidRDefault="004D5B5D" w:rsidP="004D5B5D">
      <w:pPr>
        <w:jc w:val="both"/>
        <w:rPr>
          <w:rFonts w:ascii="Garamond" w:hAnsi="Garamond"/>
          <w:b/>
          <w:bCs/>
        </w:rPr>
      </w:pPr>
    </w:p>
    <w:p w14:paraId="4202E10E" w14:textId="6395A6A5" w:rsidR="004D5B5D" w:rsidRDefault="005C27B5" w:rsidP="004D5B5D">
      <w:pPr>
        <w:jc w:val="both"/>
        <w:rPr>
          <w:rFonts w:ascii="Garamond" w:hAnsi="Garamond"/>
          <w:b/>
          <w:bCs/>
        </w:rPr>
      </w:pPr>
      <w:r>
        <w:rPr>
          <w:rFonts w:ascii="Garamond" w:hAnsi="Garamond"/>
          <w:b/>
          <w:bCs/>
        </w:rPr>
        <w:t>4</w:t>
      </w:r>
      <w:r w:rsidR="0091007A">
        <w:rPr>
          <w:rFonts w:ascii="Garamond" w:hAnsi="Garamond"/>
          <w:b/>
          <w:bCs/>
        </w:rPr>
        <w:t xml:space="preserve">. </w:t>
      </w:r>
      <w:r>
        <w:rPr>
          <w:rFonts w:ascii="Garamond" w:hAnsi="Garamond"/>
          <w:b/>
          <w:bCs/>
        </w:rPr>
        <w:t>1</w:t>
      </w:r>
      <w:r w:rsidR="0091007A">
        <w:rPr>
          <w:rFonts w:ascii="Garamond" w:hAnsi="Garamond"/>
          <w:b/>
          <w:bCs/>
        </w:rPr>
        <w:t xml:space="preserve">    Result</w:t>
      </w:r>
    </w:p>
    <w:p w14:paraId="15055FAA" w14:textId="73D81B86" w:rsidR="00E07F62" w:rsidRPr="00492D4C" w:rsidRDefault="00AA552B" w:rsidP="00E07F62">
      <w:pPr>
        <w:spacing w:after="160"/>
        <w:contextualSpacing/>
        <w:jc w:val="center"/>
        <w:rPr>
          <w:rFonts w:ascii="Garamond" w:hAnsi="Garamond"/>
          <w:b/>
          <w:bCs/>
        </w:rPr>
      </w:pPr>
      <w:r w:rsidRPr="00492D4C">
        <w:rPr>
          <w:rFonts w:ascii="Garamond" w:hAnsi="Garamond"/>
          <w:b/>
          <w:bCs/>
        </w:rPr>
        <w:t xml:space="preserve">Table </w:t>
      </w:r>
      <w:r w:rsidR="00247575">
        <w:rPr>
          <w:rFonts w:ascii="Garamond" w:hAnsi="Garamond"/>
          <w:b/>
          <w:bCs/>
        </w:rPr>
        <w:t>III</w:t>
      </w:r>
      <w:r w:rsidRPr="00492D4C">
        <w:rPr>
          <w:rFonts w:ascii="Garamond" w:hAnsi="Garamond"/>
          <w:b/>
          <w:bCs/>
        </w:rPr>
        <w:t>.</w:t>
      </w:r>
      <w:r>
        <w:rPr>
          <w:rFonts w:ascii="Garamond" w:hAnsi="Garamond"/>
          <w:b/>
          <w:bCs/>
        </w:rPr>
        <w:t xml:space="preserve"> </w:t>
      </w:r>
      <w:r w:rsidR="00CA5329" w:rsidRPr="001F70A0">
        <w:rPr>
          <w:rFonts w:ascii="Garamond" w:hAnsi="Garamond"/>
          <w:b/>
          <w:bCs/>
        </w:rPr>
        <w:t xml:space="preserve">Descriptive Statistics </w:t>
      </w:r>
      <w:r w:rsidR="00E07F62" w:rsidRPr="001F70A0">
        <w:rPr>
          <w:rFonts w:ascii="Garamond" w:hAnsi="Garamond"/>
          <w:b/>
          <w:bCs/>
        </w:rPr>
        <w:t xml:space="preserve">Event </w:t>
      </w:r>
      <w:r w:rsidR="00E07F62">
        <w:rPr>
          <w:rFonts w:ascii="Garamond" w:hAnsi="Garamond"/>
          <w:b/>
          <w:bCs/>
        </w:rPr>
        <w:t xml:space="preserve">1 </w:t>
      </w:r>
      <w:r w:rsidR="00E07F62" w:rsidRPr="001F70A0">
        <w:rPr>
          <w:rFonts w:ascii="Garamond" w:hAnsi="Garamond"/>
          <w:b/>
          <w:bCs/>
        </w:rPr>
        <w:t>(Tariff Announcement)</w:t>
      </w:r>
    </w:p>
    <w:p w14:paraId="044C4A3D" w14:textId="77777777" w:rsidR="00AA552B" w:rsidRPr="00492D4C" w:rsidRDefault="00AA552B" w:rsidP="00AA552B">
      <w:pPr>
        <w:spacing w:after="160"/>
        <w:contextualSpacing/>
        <w:rPr>
          <w:rFonts w:ascii="Garamond" w:hAnsi="Garamond"/>
          <w:b/>
          <w:bCs/>
        </w:rPr>
      </w:pPr>
    </w:p>
    <w:tbl>
      <w:tblPr>
        <w:tblStyle w:val="PlainTable1"/>
        <w:tblW w:w="0" w:type="auto"/>
        <w:jc w:val="center"/>
        <w:tblLook w:val="04A0" w:firstRow="1" w:lastRow="0" w:firstColumn="1" w:lastColumn="0" w:noHBand="0" w:noVBand="1"/>
      </w:tblPr>
      <w:tblGrid>
        <w:gridCol w:w="1054"/>
        <w:gridCol w:w="385"/>
        <w:gridCol w:w="979"/>
        <w:gridCol w:w="979"/>
        <w:gridCol w:w="1421"/>
        <w:gridCol w:w="979"/>
        <w:gridCol w:w="979"/>
      </w:tblGrid>
      <w:tr w:rsidR="0023490B" w:rsidRPr="0023490B" w14:paraId="76E14ECE" w14:textId="4F3B6660" w:rsidTr="001D0C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C8BDC1" w14:textId="709D0692" w:rsidR="0023490B" w:rsidRPr="0023490B" w:rsidRDefault="00DE757B" w:rsidP="006A44E8">
            <w:pPr>
              <w:spacing w:after="160"/>
              <w:contextualSpacing/>
              <w:jc w:val="both"/>
              <w:rPr>
                <w:rFonts w:ascii="Garamond" w:hAnsi="Garamond"/>
                <w:sz w:val="20"/>
                <w:szCs w:val="20"/>
              </w:rPr>
            </w:pPr>
            <w:r>
              <w:rPr>
                <w:rFonts w:ascii="Garamond" w:hAnsi="Garamond"/>
                <w:sz w:val="20"/>
                <w:szCs w:val="20"/>
              </w:rPr>
              <w:t>Day</w:t>
            </w:r>
          </w:p>
        </w:tc>
        <w:tc>
          <w:tcPr>
            <w:tcW w:w="0" w:type="auto"/>
            <w:hideMark/>
          </w:tcPr>
          <w:p w14:paraId="19248CC7" w14:textId="60525205" w:rsidR="0023490B" w:rsidRPr="0023490B" w:rsidRDefault="0023490B"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N</w:t>
            </w:r>
          </w:p>
        </w:tc>
        <w:tc>
          <w:tcPr>
            <w:tcW w:w="0" w:type="auto"/>
            <w:hideMark/>
          </w:tcPr>
          <w:p w14:paraId="2A3964EB" w14:textId="6F474781" w:rsidR="0023490B" w:rsidRPr="0023490B" w:rsidRDefault="0023490B"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Mean</w:t>
            </w:r>
          </w:p>
        </w:tc>
        <w:tc>
          <w:tcPr>
            <w:tcW w:w="0" w:type="auto"/>
          </w:tcPr>
          <w:p w14:paraId="23925506" w14:textId="1BEF98A0" w:rsidR="0023490B" w:rsidRPr="0023490B" w:rsidRDefault="0023490B"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Median</w:t>
            </w:r>
          </w:p>
        </w:tc>
        <w:tc>
          <w:tcPr>
            <w:tcW w:w="0" w:type="auto"/>
          </w:tcPr>
          <w:p w14:paraId="3FD494E1" w14:textId="1345924C" w:rsidR="0023490B" w:rsidRPr="0023490B" w:rsidRDefault="0023490B"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Std. Deviation</w:t>
            </w:r>
          </w:p>
        </w:tc>
        <w:tc>
          <w:tcPr>
            <w:tcW w:w="0" w:type="auto"/>
          </w:tcPr>
          <w:p w14:paraId="59606370" w14:textId="002164DF" w:rsidR="0023490B" w:rsidRPr="0023490B" w:rsidRDefault="0023490B"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Min.</w:t>
            </w:r>
          </w:p>
        </w:tc>
        <w:tc>
          <w:tcPr>
            <w:tcW w:w="0" w:type="auto"/>
          </w:tcPr>
          <w:p w14:paraId="34D3488B" w14:textId="5E003F0B" w:rsidR="0023490B" w:rsidRPr="0023490B" w:rsidRDefault="0023490B"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Max.</w:t>
            </w:r>
          </w:p>
        </w:tc>
      </w:tr>
      <w:tr w:rsidR="0023490B" w:rsidRPr="0023490B" w14:paraId="603B8858" w14:textId="2892C3E8" w:rsidTr="001D0C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9920F5" w14:textId="647E3000" w:rsidR="0023490B" w:rsidRPr="0023490B" w:rsidRDefault="0023490B" w:rsidP="0023490B">
            <w:pPr>
              <w:spacing w:after="160"/>
              <w:contextualSpacing/>
              <w:jc w:val="both"/>
              <w:rPr>
                <w:rFonts w:ascii="Garamond" w:hAnsi="Garamond"/>
                <w:sz w:val="20"/>
                <w:szCs w:val="20"/>
              </w:rPr>
            </w:pPr>
            <w:r w:rsidRPr="0023490B">
              <w:rPr>
                <w:rFonts w:ascii="Garamond" w:hAnsi="Garamond"/>
                <w:sz w:val="20"/>
                <w:szCs w:val="20"/>
              </w:rPr>
              <w:t>t0</w:t>
            </w:r>
          </w:p>
        </w:tc>
        <w:tc>
          <w:tcPr>
            <w:tcW w:w="0" w:type="auto"/>
            <w:hideMark/>
          </w:tcPr>
          <w:p w14:paraId="5992350A" w14:textId="5F2B2B83"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5</w:t>
            </w:r>
          </w:p>
        </w:tc>
        <w:tc>
          <w:tcPr>
            <w:tcW w:w="0" w:type="auto"/>
            <w:hideMark/>
          </w:tcPr>
          <w:p w14:paraId="590998E6" w14:textId="1DBB6575"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-0.019521</w:t>
            </w:r>
          </w:p>
        </w:tc>
        <w:tc>
          <w:tcPr>
            <w:tcW w:w="0" w:type="auto"/>
          </w:tcPr>
          <w:p w14:paraId="0FF487DA" w14:textId="52825E06"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-0.007534</w:t>
            </w:r>
          </w:p>
        </w:tc>
        <w:tc>
          <w:tcPr>
            <w:tcW w:w="0" w:type="auto"/>
          </w:tcPr>
          <w:p w14:paraId="330C7D01" w14:textId="6E5DE9EA"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0.027008</w:t>
            </w:r>
          </w:p>
        </w:tc>
        <w:tc>
          <w:tcPr>
            <w:tcW w:w="0" w:type="auto"/>
          </w:tcPr>
          <w:p w14:paraId="01245BCB" w14:textId="23E398C4"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-0.067189</w:t>
            </w:r>
          </w:p>
        </w:tc>
        <w:tc>
          <w:tcPr>
            <w:tcW w:w="0" w:type="auto"/>
          </w:tcPr>
          <w:p w14:paraId="217252BB" w14:textId="6D685A43"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-0.003802</w:t>
            </w:r>
          </w:p>
        </w:tc>
      </w:tr>
      <w:tr w:rsidR="0023490B" w:rsidRPr="0023490B" w14:paraId="1F8B55FE" w14:textId="39DC934B" w:rsidTr="001D0C6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EA7B2C" w14:textId="47FB33B7" w:rsidR="0023490B" w:rsidRPr="0023490B" w:rsidRDefault="0023490B" w:rsidP="0023490B">
            <w:pPr>
              <w:spacing w:after="160"/>
              <w:contextualSpacing/>
              <w:jc w:val="both"/>
              <w:rPr>
                <w:rFonts w:ascii="Garamond" w:hAnsi="Garamond"/>
                <w:sz w:val="20"/>
                <w:szCs w:val="20"/>
              </w:rPr>
            </w:pPr>
            <w:r w:rsidRPr="0023490B">
              <w:rPr>
                <w:rFonts w:ascii="Garamond" w:hAnsi="Garamond"/>
                <w:sz w:val="20"/>
                <w:szCs w:val="20"/>
              </w:rPr>
              <w:t>t+1</w:t>
            </w:r>
          </w:p>
        </w:tc>
        <w:tc>
          <w:tcPr>
            <w:tcW w:w="0" w:type="auto"/>
            <w:hideMark/>
          </w:tcPr>
          <w:p w14:paraId="4C8433B4" w14:textId="0E682388" w:rsidR="0023490B" w:rsidRPr="0023490B" w:rsidRDefault="0023490B" w:rsidP="0023490B">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5</w:t>
            </w:r>
          </w:p>
        </w:tc>
        <w:tc>
          <w:tcPr>
            <w:tcW w:w="0" w:type="auto"/>
            <w:hideMark/>
          </w:tcPr>
          <w:p w14:paraId="06C06FBD" w14:textId="01B893C4" w:rsidR="0023490B" w:rsidRPr="0023490B" w:rsidRDefault="0023490B" w:rsidP="0023490B">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-0.018701</w:t>
            </w:r>
          </w:p>
        </w:tc>
        <w:tc>
          <w:tcPr>
            <w:tcW w:w="0" w:type="auto"/>
          </w:tcPr>
          <w:p w14:paraId="03A68047" w14:textId="575BABFB" w:rsidR="0023490B" w:rsidRPr="0023490B" w:rsidRDefault="0023490B" w:rsidP="0023490B">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-0.015989</w:t>
            </w:r>
          </w:p>
        </w:tc>
        <w:tc>
          <w:tcPr>
            <w:tcW w:w="0" w:type="auto"/>
          </w:tcPr>
          <w:p w14:paraId="2593E0DD" w14:textId="72E1AEE5" w:rsidR="0023490B" w:rsidRPr="0023490B" w:rsidRDefault="0023490B" w:rsidP="0023490B">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0.010749</w:t>
            </w:r>
          </w:p>
        </w:tc>
        <w:tc>
          <w:tcPr>
            <w:tcW w:w="0" w:type="auto"/>
          </w:tcPr>
          <w:p w14:paraId="3526332F" w14:textId="56FF8AEA" w:rsidR="0023490B" w:rsidRPr="0023490B" w:rsidRDefault="0023490B" w:rsidP="0023490B">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-0.030302</w:t>
            </w:r>
          </w:p>
        </w:tc>
        <w:tc>
          <w:tcPr>
            <w:tcW w:w="0" w:type="auto"/>
          </w:tcPr>
          <w:p w14:paraId="5E0B8966" w14:textId="24811970" w:rsidR="0023490B" w:rsidRPr="0023490B" w:rsidRDefault="0023490B" w:rsidP="0023490B">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-0.008507</w:t>
            </w:r>
          </w:p>
        </w:tc>
      </w:tr>
      <w:tr w:rsidR="0023490B" w:rsidRPr="0023490B" w14:paraId="5971D3C6" w14:textId="7BA2F022" w:rsidTr="001D0C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F6EAAD2" w14:textId="5D324E24" w:rsidR="0023490B" w:rsidRPr="0023490B" w:rsidRDefault="0023490B" w:rsidP="0023490B">
            <w:pPr>
              <w:spacing w:after="160"/>
              <w:contextualSpacing/>
              <w:jc w:val="both"/>
              <w:rPr>
                <w:rFonts w:ascii="Garamond" w:hAnsi="Garamond"/>
                <w:sz w:val="20"/>
                <w:szCs w:val="20"/>
              </w:rPr>
            </w:pPr>
            <w:r w:rsidRPr="0023490B">
              <w:rPr>
                <w:rFonts w:ascii="Garamond" w:hAnsi="Garamond"/>
                <w:sz w:val="20"/>
                <w:szCs w:val="20"/>
              </w:rPr>
              <w:t>t+2</w:t>
            </w:r>
          </w:p>
        </w:tc>
        <w:tc>
          <w:tcPr>
            <w:tcW w:w="0" w:type="auto"/>
          </w:tcPr>
          <w:p w14:paraId="139C00F3" w14:textId="7570B863"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5</w:t>
            </w:r>
          </w:p>
        </w:tc>
        <w:tc>
          <w:tcPr>
            <w:tcW w:w="0" w:type="auto"/>
          </w:tcPr>
          <w:p w14:paraId="62DD28C4" w14:textId="2F31C916"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-0.052841</w:t>
            </w:r>
          </w:p>
        </w:tc>
        <w:tc>
          <w:tcPr>
            <w:tcW w:w="0" w:type="auto"/>
          </w:tcPr>
          <w:p w14:paraId="624571E6" w14:textId="07B99CC8"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-0.043234</w:t>
            </w:r>
          </w:p>
        </w:tc>
        <w:tc>
          <w:tcPr>
            <w:tcW w:w="0" w:type="auto"/>
          </w:tcPr>
          <w:p w14:paraId="1D2F8044" w14:textId="76C055E2"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0.016214</w:t>
            </w:r>
          </w:p>
        </w:tc>
        <w:tc>
          <w:tcPr>
            <w:tcW w:w="0" w:type="auto"/>
          </w:tcPr>
          <w:p w14:paraId="42585FE8" w14:textId="4BABA5E7"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-0.075402</w:t>
            </w:r>
          </w:p>
        </w:tc>
        <w:tc>
          <w:tcPr>
            <w:tcW w:w="0" w:type="auto"/>
          </w:tcPr>
          <w:p w14:paraId="34E33FA3" w14:textId="130870DA"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-0.039373</w:t>
            </w:r>
          </w:p>
        </w:tc>
      </w:tr>
      <w:tr w:rsidR="0023490B" w:rsidRPr="0023490B" w14:paraId="32A62ED9" w14:textId="0D0D30A7" w:rsidTr="001D0C6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FE437E0" w14:textId="18131B26" w:rsidR="0023490B" w:rsidRPr="0023490B" w:rsidRDefault="0023490B" w:rsidP="0023490B">
            <w:pPr>
              <w:spacing w:after="160"/>
              <w:contextualSpacing/>
              <w:jc w:val="both"/>
              <w:rPr>
                <w:rFonts w:ascii="Garamond" w:hAnsi="Garamond"/>
                <w:sz w:val="20"/>
                <w:szCs w:val="20"/>
              </w:rPr>
            </w:pPr>
            <w:r w:rsidRPr="0023490B">
              <w:rPr>
                <w:rFonts w:ascii="Garamond" w:hAnsi="Garamond"/>
                <w:sz w:val="20"/>
                <w:szCs w:val="20"/>
              </w:rPr>
              <w:t>t+3</w:t>
            </w:r>
          </w:p>
        </w:tc>
        <w:tc>
          <w:tcPr>
            <w:tcW w:w="0" w:type="auto"/>
          </w:tcPr>
          <w:p w14:paraId="01406FF5" w14:textId="005EAD1F" w:rsidR="0023490B" w:rsidRPr="0023490B" w:rsidRDefault="0023490B" w:rsidP="0023490B">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5</w:t>
            </w:r>
          </w:p>
        </w:tc>
        <w:tc>
          <w:tcPr>
            <w:tcW w:w="0" w:type="auto"/>
          </w:tcPr>
          <w:p w14:paraId="2013CCD8" w14:textId="28C2454E" w:rsidR="0023490B" w:rsidRPr="0023490B" w:rsidRDefault="0023490B" w:rsidP="0023490B">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-0.001481</w:t>
            </w:r>
          </w:p>
        </w:tc>
        <w:tc>
          <w:tcPr>
            <w:tcW w:w="0" w:type="auto"/>
          </w:tcPr>
          <w:p w14:paraId="45D59739" w14:textId="45DE1E2E" w:rsidR="0023490B" w:rsidRPr="0023490B" w:rsidRDefault="0023490B" w:rsidP="0023490B">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0.000527</w:t>
            </w:r>
          </w:p>
        </w:tc>
        <w:tc>
          <w:tcPr>
            <w:tcW w:w="0" w:type="auto"/>
          </w:tcPr>
          <w:p w14:paraId="2E1744F1" w14:textId="7538B362" w:rsidR="0023490B" w:rsidRPr="0023490B" w:rsidRDefault="0023490B" w:rsidP="0023490B">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0.026943</w:t>
            </w:r>
          </w:p>
        </w:tc>
        <w:tc>
          <w:tcPr>
            <w:tcW w:w="0" w:type="auto"/>
          </w:tcPr>
          <w:p w14:paraId="4DBCA638" w14:textId="1B46AD4A" w:rsidR="0023490B" w:rsidRPr="0023490B" w:rsidRDefault="0023490B" w:rsidP="0023490B">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-0.034389</w:t>
            </w:r>
          </w:p>
        </w:tc>
        <w:tc>
          <w:tcPr>
            <w:tcW w:w="0" w:type="auto"/>
          </w:tcPr>
          <w:p w14:paraId="4E102160" w14:textId="0172BEF0" w:rsidR="0023490B" w:rsidRPr="0023490B" w:rsidRDefault="0023490B" w:rsidP="0023490B">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0.032993</w:t>
            </w:r>
          </w:p>
        </w:tc>
      </w:tr>
      <w:tr w:rsidR="0023490B" w:rsidRPr="0023490B" w14:paraId="47885EDC" w14:textId="5BDD4E3E" w:rsidTr="001D0C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C5FF889" w14:textId="1C3F318A" w:rsidR="0023490B" w:rsidRPr="0023490B" w:rsidRDefault="0023490B" w:rsidP="0023490B">
            <w:pPr>
              <w:spacing w:after="160"/>
              <w:contextualSpacing/>
              <w:jc w:val="both"/>
              <w:rPr>
                <w:rFonts w:ascii="Garamond" w:hAnsi="Garamond"/>
                <w:sz w:val="20"/>
                <w:szCs w:val="20"/>
              </w:rPr>
            </w:pPr>
            <w:r w:rsidRPr="0023490B">
              <w:rPr>
                <w:rFonts w:ascii="Garamond" w:hAnsi="Garamond"/>
                <w:sz w:val="20"/>
                <w:szCs w:val="20"/>
              </w:rPr>
              <w:t>CAR</w:t>
            </w:r>
            <w:r>
              <w:rPr>
                <w:rFonts w:ascii="Garamond" w:hAnsi="Garamond"/>
                <w:sz w:val="20"/>
                <w:szCs w:val="20"/>
              </w:rPr>
              <w:t xml:space="preserve"> </w:t>
            </w:r>
            <w:r w:rsidRPr="0023490B">
              <w:rPr>
                <w:rFonts w:ascii="Garamond" w:hAnsi="Garamond"/>
                <w:sz w:val="20"/>
                <w:szCs w:val="20"/>
              </w:rPr>
              <w:t>(0,3)</w:t>
            </w:r>
          </w:p>
        </w:tc>
        <w:tc>
          <w:tcPr>
            <w:tcW w:w="0" w:type="auto"/>
          </w:tcPr>
          <w:p w14:paraId="78CE7CB7" w14:textId="4B243B2E"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5</w:t>
            </w:r>
          </w:p>
        </w:tc>
        <w:tc>
          <w:tcPr>
            <w:tcW w:w="0" w:type="auto"/>
          </w:tcPr>
          <w:p w14:paraId="249371FB" w14:textId="3FE98FA3"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-0.092544</w:t>
            </w:r>
          </w:p>
        </w:tc>
        <w:tc>
          <w:tcPr>
            <w:tcW w:w="0" w:type="auto"/>
          </w:tcPr>
          <w:p w14:paraId="442167EF" w14:textId="2A13A281"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-0.066135</w:t>
            </w:r>
          </w:p>
        </w:tc>
        <w:tc>
          <w:tcPr>
            <w:tcW w:w="0" w:type="auto"/>
          </w:tcPr>
          <w:p w14:paraId="509D1690" w14:textId="4E4DF3DF"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0.062254</w:t>
            </w:r>
          </w:p>
        </w:tc>
        <w:tc>
          <w:tcPr>
            <w:tcW w:w="0" w:type="auto"/>
          </w:tcPr>
          <w:p w14:paraId="35776AE1" w14:textId="1F91A285"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-0.182256</w:t>
            </w:r>
          </w:p>
        </w:tc>
        <w:tc>
          <w:tcPr>
            <w:tcW w:w="0" w:type="auto"/>
          </w:tcPr>
          <w:p w14:paraId="540F8FB7" w14:textId="311484B6" w:rsidR="0023490B" w:rsidRPr="0023490B" w:rsidRDefault="0023490B" w:rsidP="0023490B">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3490B">
              <w:rPr>
                <w:rFonts w:ascii="Garamond" w:hAnsi="Garamond"/>
                <w:sz w:val="20"/>
                <w:szCs w:val="20"/>
              </w:rPr>
              <w:t>-0.031829</w:t>
            </w:r>
          </w:p>
        </w:tc>
      </w:tr>
    </w:tbl>
    <w:p w14:paraId="7ED63455" w14:textId="77777777" w:rsidR="00AA552B" w:rsidRDefault="00AA552B" w:rsidP="00AA552B">
      <w:pPr>
        <w:jc w:val="both"/>
        <w:rPr>
          <w:rFonts w:ascii="Garamond" w:hAnsi="Garamond"/>
          <w:i/>
          <w:iCs/>
        </w:rPr>
      </w:pPr>
      <w:r w:rsidRPr="00492D4C">
        <w:rPr>
          <w:rFonts w:ascii="Garamond" w:hAnsi="Garamond"/>
          <w:b/>
          <w:bCs/>
          <w:i/>
          <w:iCs/>
        </w:rPr>
        <w:t>Source:</w:t>
      </w:r>
      <w:r w:rsidRPr="00492D4C">
        <w:rPr>
          <w:rFonts w:ascii="Garamond" w:hAnsi="Garamond"/>
          <w:i/>
          <w:iCs/>
        </w:rPr>
        <w:t xml:space="preserve"> </w:t>
      </w:r>
      <w:r w:rsidRPr="003F3A81">
        <w:rPr>
          <w:rFonts w:ascii="Garamond" w:hAnsi="Garamond"/>
          <w:i/>
          <w:iCs/>
        </w:rPr>
        <w:t>Processed by the author</w:t>
      </w:r>
      <w:r>
        <w:rPr>
          <w:rFonts w:ascii="Garamond" w:hAnsi="Garamond"/>
          <w:i/>
          <w:iCs/>
        </w:rPr>
        <w:t xml:space="preserve"> (2025)</w:t>
      </w:r>
    </w:p>
    <w:p w14:paraId="70EE1BE0" w14:textId="19836417" w:rsidR="00AA552B" w:rsidRPr="00E76BC4" w:rsidRDefault="001F70A0" w:rsidP="001F70A0">
      <w:pPr>
        <w:ind w:firstLine="851"/>
        <w:jc w:val="both"/>
        <w:rPr>
          <w:rFonts w:ascii="Garamond" w:hAnsi="Garamond"/>
        </w:rPr>
      </w:pPr>
      <w:r w:rsidRPr="001F70A0">
        <w:rPr>
          <w:rFonts w:ascii="Garamond" w:hAnsi="Garamond"/>
        </w:rPr>
        <w:t xml:space="preserve">Based on the descriptive statistics, the average abnormal returns from </w:t>
      </w:r>
      <w:r w:rsidRPr="001F70A0">
        <w:rPr>
          <w:rFonts w:ascii="Garamond" w:hAnsi="Garamond"/>
          <w:b/>
          <w:bCs/>
        </w:rPr>
        <w:t>t0 through t+3</w:t>
      </w:r>
      <w:r w:rsidRPr="001F70A0">
        <w:rPr>
          <w:rFonts w:ascii="Garamond" w:hAnsi="Garamond"/>
        </w:rPr>
        <w:t xml:space="preserve"> are consistently negative, indicating that ASEAN stock markets reacted adversely to the initial announcement of the U.S. “reciprocal” tariff. The largest decline occurs at </w:t>
      </w:r>
      <w:r w:rsidRPr="001F70A0">
        <w:rPr>
          <w:rFonts w:ascii="Garamond" w:hAnsi="Garamond"/>
          <w:b/>
          <w:bCs/>
        </w:rPr>
        <w:t>t+2 (-5.28%)</w:t>
      </w:r>
      <w:r w:rsidRPr="001F70A0">
        <w:rPr>
          <w:rFonts w:ascii="Garamond" w:hAnsi="Garamond"/>
        </w:rPr>
        <w:t xml:space="preserve">, suggesting that the market reaction was not confined to the announcement day but intensified in the days following the event. The cumulative abnormal return </w:t>
      </w:r>
      <w:r w:rsidRPr="001F70A0">
        <w:rPr>
          <w:rFonts w:ascii="Garamond" w:hAnsi="Garamond"/>
          <w:b/>
          <w:bCs/>
        </w:rPr>
        <w:t>CAR</w:t>
      </w:r>
      <w:r>
        <w:rPr>
          <w:rFonts w:ascii="Garamond" w:hAnsi="Garamond"/>
          <w:b/>
          <w:bCs/>
        </w:rPr>
        <w:t xml:space="preserve"> </w:t>
      </w:r>
      <w:r w:rsidRPr="001F70A0">
        <w:rPr>
          <w:rFonts w:ascii="Garamond" w:hAnsi="Garamond"/>
          <w:b/>
          <w:bCs/>
        </w:rPr>
        <w:t>(0,3)</w:t>
      </w:r>
      <w:r w:rsidRPr="001F70A0">
        <w:rPr>
          <w:rFonts w:ascii="Garamond" w:hAnsi="Garamond"/>
        </w:rPr>
        <w:t xml:space="preserve"> of </w:t>
      </w:r>
      <w:r w:rsidRPr="001F70A0">
        <w:rPr>
          <w:rFonts w:ascii="Garamond" w:hAnsi="Garamond"/>
          <w:b/>
          <w:bCs/>
        </w:rPr>
        <w:t>-9.25%</w:t>
      </w:r>
      <w:r w:rsidRPr="001F70A0">
        <w:rPr>
          <w:rFonts w:ascii="Garamond" w:hAnsi="Garamond"/>
        </w:rPr>
        <w:t xml:space="preserve"> confirms that the negative impact was substantial and persistent over the event window. Relatively large standard deviations, particularly at </w:t>
      </w:r>
      <w:r w:rsidRPr="001F70A0">
        <w:rPr>
          <w:rFonts w:ascii="Garamond" w:hAnsi="Garamond"/>
          <w:b/>
          <w:bCs/>
        </w:rPr>
        <w:t>t0</w:t>
      </w:r>
      <w:r w:rsidRPr="001F70A0">
        <w:rPr>
          <w:rFonts w:ascii="Garamond" w:hAnsi="Garamond"/>
        </w:rPr>
        <w:t xml:space="preserve">, </w:t>
      </w:r>
      <w:r w:rsidRPr="001F70A0">
        <w:rPr>
          <w:rFonts w:ascii="Garamond" w:hAnsi="Garamond"/>
          <w:b/>
          <w:bCs/>
        </w:rPr>
        <w:t>t+3</w:t>
      </w:r>
      <w:r w:rsidRPr="001F70A0">
        <w:rPr>
          <w:rFonts w:ascii="Garamond" w:hAnsi="Garamond"/>
        </w:rPr>
        <w:t xml:space="preserve">, and </w:t>
      </w:r>
      <w:r w:rsidRPr="001F70A0">
        <w:rPr>
          <w:rFonts w:ascii="Garamond" w:hAnsi="Garamond"/>
          <w:b/>
          <w:bCs/>
        </w:rPr>
        <w:t>CAR</w:t>
      </w:r>
      <w:r>
        <w:rPr>
          <w:rFonts w:ascii="Garamond" w:hAnsi="Garamond"/>
          <w:b/>
          <w:bCs/>
        </w:rPr>
        <w:t xml:space="preserve"> </w:t>
      </w:r>
      <w:r w:rsidRPr="001F70A0">
        <w:rPr>
          <w:rFonts w:ascii="Garamond" w:hAnsi="Garamond"/>
          <w:b/>
          <w:bCs/>
        </w:rPr>
        <w:t>(0,3)</w:t>
      </w:r>
      <w:r w:rsidRPr="001F70A0">
        <w:rPr>
          <w:rFonts w:ascii="Garamond" w:hAnsi="Garamond"/>
        </w:rPr>
        <w:t xml:space="preserve">, indicate considerable variation in market responses across countries. In addition, the wide gap between the minimum and maximum values reflects heterogeneous reactions among ASEAN markets. Although the magnitude of abnormal returns diminishes at </w:t>
      </w:r>
      <w:r w:rsidRPr="001F70A0">
        <w:rPr>
          <w:rFonts w:ascii="Garamond" w:hAnsi="Garamond"/>
          <w:b/>
          <w:bCs/>
        </w:rPr>
        <w:t>t+3</w:t>
      </w:r>
      <w:r w:rsidRPr="001F70A0">
        <w:rPr>
          <w:rFonts w:ascii="Garamond" w:hAnsi="Garamond"/>
        </w:rPr>
        <w:t>, the cumulative losses remain negative, suggesting that the market had not fully adjusted by the end of the observation period.</w:t>
      </w:r>
    </w:p>
    <w:p w14:paraId="10026D37" w14:textId="77777777" w:rsidR="00AA552B" w:rsidRPr="00AA552B" w:rsidRDefault="00AA552B" w:rsidP="00AA552B">
      <w:pPr>
        <w:jc w:val="both"/>
        <w:rPr>
          <w:rFonts w:ascii="Garamond" w:hAnsi="Garamond"/>
        </w:rPr>
      </w:pPr>
    </w:p>
    <w:p w14:paraId="020E2DAB" w14:textId="791F23A4" w:rsidR="00AA552B" w:rsidRPr="00492D4C" w:rsidRDefault="00AA552B" w:rsidP="00AA552B">
      <w:pPr>
        <w:spacing w:after="160"/>
        <w:contextualSpacing/>
        <w:jc w:val="center"/>
        <w:rPr>
          <w:rFonts w:ascii="Garamond" w:hAnsi="Garamond"/>
          <w:b/>
          <w:bCs/>
        </w:rPr>
      </w:pPr>
      <w:r w:rsidRPr="00492D4C">
        <w:rPr>
          <w:rFonts w:ascii="Garamond" w:hAnsi="Garamond"/>
          <w:b/>
          <w:bCs/>
        </w:rPr>
        <w:t xml:space="preserve">Table </w:t>
      </w:r>
      <w:r w:rsidR="00247575">
        <w:rPr>
          <w:rFonts w:ascii="Garamond" w:hAnsi="Garamond"/>
          <w:b/>
          <w:bCs/>
        </w:rPr>
        <w:t>IV</w:t>
      </w:r>
      <w:r w:rsidRPr="00492D4C">
        <w:rPr>
          <w:rFonts w:ascii="Garamond" w:hAnsi="Garamond"/>
          <w:b/>
          <w:bCs/>
        </w:rPr>
        <w:t>.</w:t>
      </w:r>
      <w:r>
        <w:rPr>
          <w:rFonts w:ascii="Garamond" w:hAnsi="Garamond"/>
          <w:b/>
          <w:bCs/>
        </w:rPr>
        <w:t xml:space="preserve"> </w:t>
      </w:r>
      <w:r w:rsidR="00CA5329" w:rsidRPr="001F70A0">
        <w:rPr>
          <w:rFonts w:ascii="Garamond" w:hAnsi="Garamond"/>
          <w:b/>
          <w:bCs/>
        </w:rPr>
        <w:t xml:space="preserve">Descriptive Statistics </w:t>
      </w:r>
      <w:r w:rsidR="001F70A0" w:rsidRPr="001F70A0">
        <w:rPr>
          <w:rFonts w:ascii="Garamond" w:hAnsi="Garamond"/>
          <w:b/>
          <w:bCs/>
        </w:rPr>
        <w:t>Event 2</w:t>
      </w:r>
      <w:r w:rsidR="00E07F62">
        <w:rPr>
          <w:rFonts w:ascii="Garamond" w:hAnsi="Garamond"/>
          <w:b/>
          <w:bCs/>
        </w:rPr>
        <w:t xml:space="preserve"> </w:t>
      </w:r>
      <w:r w:rsidR="00E07F62" w:rsidRPr="001F70A0">
        <w:rPr>
          <w:rFonts w:ascii="Garamond" w:hAnsi="Garamond"/>
          <w:b/>
          <w:bCs/>
        </w:rPr>
        <w:t>(Tariff Pause Announcement)</w:t>
      </w:r>
    </w:p>
    <w:p w14:paraId="74FA997D" w14:textId="77777777" w:rsidR="00AA552B" w:rsidRDefault="00AA552B" w:rsidP="00AA552B">
      <w:pPr>
        <w:spacing w:after="160"/>
        <w:contextualSpacing/>
        <w:rPr>
          <w:rFonts w:ascii="Garamond" w:hAnsi="Garamond"/>
          <w:b/>
          <w:bCs/>
        </w:rPr>
      </w:pPr>
    </w:p>
    <w:tbl>
      <w:tblPr>
        <w:tblStyle w:val="PlainTable1"/>
        <w:tblW w:w="0" w:type="auto"/>
        <w:jc w:val="center"/>
        <w:tblLook w:val="04A0" w:firstRow="1" w:lastRow="0" w:firstColumn="1" w:lastColumn="0" w:noHBand="0" w:noVBand="1"/>
      </w:tblPr>
      <w:tblGrid>
        <w:gridCol w:w="1054"/>
        <w:gridCol w:w="385"/>
        <w:gridCol w:w="916"/>
        <w:gridCol w:w="979"/>
        <w:gridCol w:w="1421"/>
        <w:gridCol w:w="979"/>
        <w:gridCol w:w="916"/>
      </w:tblGrid>
      <w:tr w:rsidR="001F70A0" w:rsidRPr="0023490B" w14:paraId="3B13E709" w14:textId="77777777" w:rsidTr="006A44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8FEB16" w14:textId="59CBDF19" w:rsidR="001F70A0" w:rsidRPr="0023490B" w:rsidRDefault="00DE757B" w:rsidP="006A44E8">
            <w:pPr>
              <w:spacing w:after="160"/>
              <w:contextualSpacing/>
              <w:jc w:val="both"/>
              <w:rPr>
                <w:rFonts w:ascii="Garamond" w:hAnsi="Garamond"/>
                <w:sz w:val="20"/>
                <w:szCs w:val="20"/>
              </w:rPr>
            </w:pPr>
            <w:r>
              <w:rPr>
                <w:rFonts w:ascii="Garamond" w:hAnsi="Garamond"/>
                <w:sz w:val="20"/>
                <w:szCs w:val="20"/>
              </w:rPr>
              <w:t>Day</w:t>
            </w:r>
          </w:p>
        </w:tc>
        <w:tc>
          <w:tcPr>
            <w:tcW w:w="0" w:type="auto"/>
            <w:hideMark/>
          </w:tcPr>
          <w:p w14:paraId="4D3A7073" w14:textId="77777777" w:rsidR="001F70A0" w:rsidRPr="0023490B" w:rsidRDefault="001F70A0"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N</w:t>
            </w:r>
          </w:p>
        </w:tc>
        <w:tc>
          <w:tcPr>
            <w:tcW w:w="0" w:type="auto"/>
            <w:hideMark/>
          </w:tcPr>
          <w:p w14:paraId="55F8D43A" w14:textId="77777777" w:rsidR="001F70A0" w:rsidRPr="0023490B" w:rsidRDefault="001F70A0"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Mean</w:t>
            </w:r>
          </w:p>
        </w:tc>
        <w:tc>
          <w:tcPr>
            <w:tcW w:w="0" w:type="auto"/>
          </w:tcPr>
          <w:p w14:paraId="45F296DA" w14:textId="77777777" w:rsidR="001F70A0" w:rsidRPr="0023490B" w:rsidRDefault="001F70A0"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Median</w:t>
            </w:r>
          </w:p>
        </w:tc>
        <w:tc>
          <w:tcPr>
            <w:tcW w:w="0" w:type="auto"/>
          </w:tcPr>
          <w:p w14:paraId="0692049D" w14:textId="77777777" w:rsidR="001F70A0" w:rsidRPr="0023490B" w:rsidRDefault="001F70A0"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Std. Deviation</w:t>
            </w:r>
          </w:p>
        </w:tc>
        <w:tc>
          <w:tcPr>
            <w:tcW w:w="0" w:type="auto"/>
          </w:tcPr>
          <w:p w14:paraId="2AC79F3A" w14:textId="77777777" w:rsidR="001F70A0" w:rsidRPr="0023490B" w:rsidRDefault="001F70A0"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Min.</w:t>
            </w:r>
          </w:p>
        </w:tc>
        <w:tc>
          <w:tcPr>
            <w:tcW w:w="0" w:type="auto"/>
          </w:tcPr>
          <w:p w14:paraId="473443A5" w14:textId="77777777" w:rsidR="001F70A0" w:rsidRPr="0023490B" w:rsidRDefault="001F70A0"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Max.</w:t>
            </w:r>
          </w:p>
        </w:tc>
      </w:tr>
      <w:tr w:rsidR="001F70A0" w:rsidRPr="0023490B" w14:paraId="064EF90E"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9312CC" w14:textId="77777777" w:rsidR="001F70A0" w:rsidRPr="0023490B" w:rsidRDefault="001F70A0" w:rsidP="001F70A0">
            <w:pPr>
              <w:spacing w:after="160"/>
              <w:contextualSpacing/>
              <w:jc w:val="both"/>
              <w:rPr>
                <w:rFonts w:ascii="Garamond" w:hAnsi="Garamond"/>
                <w:sz w:val="20"/>
                <w:szCs w:val="20"/>
              </w:rPr>
            </w:pPr>
            <w:r w:rsidRPr="0023490B">
              <w:rPr>
                <w:rFonts w:ascii="Garamond" w:hAnsi="Garamond"/>
                <w:sz w:val="20"/>
                <w:szCs w:val="20"/>
              </w:rPr>
              <w:t>t0</w:t>
            </w:r>
          </w:p>
        </w:tc>
        <w:tc>
          <w:tcPr>
            <w:tcW w:w="0" w:type="auto"/>
            <w:hideMark/>
          </w:tcPr>
          <w:p w14:paraId="7644DD5E" w14:textId="3A721C34" w:rsidR="001F70A0" w:rsidRPr="0023490B"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6</w:t>
            </w:r>
          </w:p>
        </w:tc>
        <w:tc>
          <w:tcPr>
            <w:tcW w:w="0" w:type="auto"/>
            <w:hideMark/>
          </w:tcPr>
          <w:p w14:paraId="4AED675E" w14:textId="731F6D45"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0.045457</w:t>
            </w:r>
          </w:p>
        </w:tc>
        <w:tc>
          <w:tcPr>
            <w:tcW w:w="0" w:type="auto"/>
          </w:tcPr>
          <w:p w14:paraId="10A363AF" w14:textId="4FC76519"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0.047338</w:t>
            </w:r>
          </w:p>
        </w:tc>
        <w:tc>
          <w:tcPr>
            <w:tcW w:w="0" w:type="auto"/>
          </w:tcPr>
          <w:p w14:paraId="6733DE94" w14:textId="19F25F67"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0.017817</w:t>
            </w:r>
          </w:p>
        </w:tc>
        <w:tc>
          <w:tcPr>
            <w:tcW w:w="0" w:type="auto"/>
          </w:tcPr>
          <w:p w14:paraId="4BEEC1D6" w14:textId="52926BF9"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0.013393</w:t>
            </w:r>
          </w:p>
        </w:tc>
        <w:tc>
          <w:tcPr>
            <w:tcW w:w="0" w:type="auto"/>
          </w:tcPr>
          <w:p w14:paraId="218F0211" w14:textId="34039472"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0.067311</w:t>
            </w:r>
          </w:p>
        </w:tc>
      </w:tr>
      <w:tr w:rsidR="001F70A0" w:rsidRPr="0023490B" w14:paraId="49828012"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B54E60" w14:textId="77777777" w:rsidR="001F70A0" w:rsidRPr="0023490B" w:rsidRDefault="001F70A0" w:rsidP="001F70A0">
            <w:pPr>
              <w:spacing w:after="160"/>
              <w:contextualSpacing/>
              <w:jc w:val="both"/>
              <w:rPr>
                <w:rFonts w:ascii="Garamond" w:hAnsi="Garamond"/>
                <w:sz w:val="20"/>
                <w:szCs w:val="20"/>
              </w:rPr>
            </w:pPr>
            <w:r w:rsidRPr="0023490B">
              <w:rPr>
                <w:rFonts w:ascii="Garamond" w:hAnsi="Garamond"/>
                <w:sz w:val="20"/>
                <w:szCs w:val="20"/>
              </w:rPr>
              <w:t>t+1</w:t>
            </w:r>
          </w:p>
        </w:tc>
        <w:tc>
          <w:tcPr>
            <w:tcW w:w="0" w:type="auto"/>
            <w:hideMark/>
          </w:tcPr>
          <w:p w14:paraId="2C8C8CDF" w14:textId="07307406" w:rsidR="001F70A0" w:rsidRPr="0023490B" w:rsidRDefault="001F70A0" w:rsidP="001F70A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6</w:t>
            </w:r>
          </w:p>
        </w:tc>
        <w:tc>
          <w:tcPr>
            <w:tcW w:w="0" w:type="auto"/>
            <w:hideMark/>
          </w:tcPr>
          <w:p w14:paraId="2705123E" w14:textId="4C58A3BC" w:rsidR="001F70A0" w:rsidRPr="001F70A0" w:rsidRDefault="001F70A0" w:rsidP="001F70A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F70A0">
              <w:rPr>
                <w:rFonts w:ascii="Garamond" w:hAnsi="Garamond"/>
                <w:sz w:val="20"/>
                <w:szCs w:val="20"/>
              </w:rPr>
              <w:t>0.003974</w:t>
            </w:r>
          </w:p>
        </w:tc>
        <w:tc>
          <w:tcPr>
            <w:tcW w:w="0" w:type="auto"/>
          </w:tcPr>
          <w:p w14:paraId="08999617" w14:textId="0FB7EEC9" w:rsidR="001F70A0" w:rsidRPr="001F70A0" w:rsidRDefault="001F70A0" w:rsidP="001F70A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F70A0">
              <w:rPr>
                <w:rFonts w:ascii="Garamond" w:hAnsi="Garamond"/>
                <w:sz w:val="20"/>
                <w:szCs w:val="20"/>
              </w:rPr>
              <w:t>-0.000320</w:t>
            </w:r>
          </w:p>
        </w:tc>
        <w:tc>
          <w:tcPr>
            <w:tcW w:w="0" w:type="auto"/>
          </w:tcPr>
          <w:p w14:paraId="071FA15D" w14:textId="0A0275EA" w:rsidR="001F70A0" w:rsidRPr="001F70A0" w:rsidRDefault="001F70A0" w:rsidP="001F70A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F70A0">
              <w:rPr>
                <w:rFonts w:ascii="Garamond" w:hAnsi="Garamond"/>
                <w:sz w:val="20"/>
                <w:szCs w:val="20"/>
              </w:rPr>
              <w:t>0.022016</w:t>
            </w:r>
          </w:p>
        </w:tc>
        <w:tc>
          <w:tcPr>
            <w:tcW w:w="0" w:type="auto"/>
          </w:tcPr>
          <w:p w14:paraId="637E1851" w14:textId="0A7BB0BD" w:rsidR="001F70A0" w:rsidRPr="001F70A0" w:rsidRDefault="001F70A0" w:rsidP="001F70A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F70A0">
              <w:rPr>
                <w:rFonts w:ascii="Garamond" w:hAnsi="Garamond"/>
                <w:sz w:val="20"/>
                <w:szCs w:val="20"/>
              </w:rPr>
              <w:t>-0.019102</w:t>
            </w:r>
          </w:p>
        </w:tc>
        <w:tc>
          <w:tcPr>
            <w:tcW w:w="0" w:type="auto"/>
          </w:tcPr>
          <w:p w14:paraId="7777C9B8" w14:textId="6CFE61F8" w:rsidR="001F70A0" w:rsidRPr="001F70A0" w:rsidRDefault="001F70A0" w:rsidP="001F70A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F70A0">
              <w:rPr>
                <w:rFonts w:ascii="Garamond" w:hAnsi="Garamond"/>
                <w:sz w:val="20"/>
                <w:szCs w:val="20"/>
              </w:rPr>
              <w:t>0.045911</w:t>
            </w:r>
          </w:p>
        </w:tc>
      </w:tr>
      <w:tr w:rsidR="001F70A0" w:rsidRPr="0023490B" w14:paraId="0092F1AB"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77FF7E" w14:textId="77777777" w:rsidR="001F70A0" w:rsidRPr="0023490B" w:rsidRDefault="001F70A0" w:rsidP="001F70A0">
            <w:pPr>
              <w:spacing w:after="160"/>
              <w:contextualSpacing/>
              <w:jc w:val="both"/>
              <w:rPr>
                <w:rFonts w:ascii="Garamond" w:hAnsi="Garamond"/>
                <w:sz w:val="20"/>
                <w:szCs w:val="20"/>
              </w:rPr>
            </w:pPr>
            <w:r w:rsidRPr="0023490B">
              <w:rPr>
                <w:rFonts w:ascii="Garamond" w:hAnsi="Garamond"/>
                <w:sz w:val="20"/>
                <w:szCs w:val="20"/>
              </w:rPr>
              <w:t>t+2</w:t>
            </w:r>
          </w:p>
        </w:tc>
        <w:tc>
          <w:tcPr>
            <w:tcW w:w="0" w:type="auto"/>
          </w:tcPr>
          <w:p w14:paraId="4C914D27" w14:textId="6C3653C9" w:rsidR="001F70A0" w:rsidRPr="0023490B"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6</w:t>
            </w:r>
          </w:p>
        </w:tc>
        <w:tc>
          <w:tcPr>
            <w:tcW w:w="0" w:type="auto"/>
          </w:tcPr>
          <w:p w14:paraId="7D49BCD6" w14:textId="2D0775D3"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0.014074</w:t>
            </w:r>
          </w:p>
        </w:tc>
        <w:tc>
          <w:tcPr>
            <w:tcW w:w="0" w:type="auto"/>
          </w:tcPr>
          <w:p w14:paraId="10DE5E9F" w14:textId="3B58E830"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0.013502</w:t>
            </w:r>
          </w:p>
        </w:tc>
        <w:tc>
          <w:tcPr>
            <w:tcW w:w="0" w:type="auto"/>
          </w:tcPr>
          <w:p w14:paraId="3DE0BD6C" w14:textId="3DCA2B78"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0.003877</w:t>
            </w:r>
          </w:p>
        </w:tc>
        <w:tc>
          <w:tcPr>
            <w:tcW w:w="0" w:type="auto"/>
          </w:tcPr>
          <w:p w14:paraId="71CFB2E5" w14:textId="603EFC77"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0.009598</w:t>
            </w:r>
          </w:p>
        </w:tc>
        <w:tc>
          <w:tcPr>
            <w:tcW w:w="0" w:type="auto"/>
          </w:tcPr>
          <w:p w14:paraId="480EF327" w14:textId="1A4CE097"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0.018627</w:t>
            </w:r>
          </w:p>
        </w:tc>
      </w:tr>
      <w:tr w:rsidR="001F70A0" w:rsidRPr="0023490B" w14:paraId="2EBB88C4"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4DE013" w14:textId="77777777" w:rsidR="001F70A0" w:rsidRPr="0023490B" w:rsidRDefault="001F70A0" w:rsidP="001F70A0">
            <w:pPr>
              <w:spacing w:after="160"/>
              <w:contextualSpacing/>
              <w:jc w:val="both"/>
              <w:rPr>
                <w:rFonts w:ascii="Garamond" w:hAnsi="Garamond"/>
                <w:sz w:val="20"/>
                <w:szCs w:val="20"/>
              </w:rPr>
            </w:pPr>
            <w:r w:rsidRPr="0023490B">
              <w:rPr>
                <w:rFonts w:ascii="Garamond" w:hAnsi="Garamond"/>
                <w:sz w:val="20"/>
                <w:szCs w:val="20"/>
              </w:rPr>
              <w:t>t+3</w:t>
            </w:r>
          </w:p>
        </w:tc>
        <w:tc>
          <w:tcPr>
            <w:tcW w:w="0" w:type="auto"/>
          </w:tcPr>
          <w:p w14:paraId="669A0029" w14:textId="5C176F2E" w:rsidR="001F70A0" w:rsidRPr="0023490B" w:rsidRDefault="001F70A0" w:rsidP="001F70A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6</w:t>
            </w:r>
          </w:p>
        </w:tc>
        <w:tc>
          <w:tcPr>
            <w:tcW w:w="0" w:type="auto"/>
          </w:tcPr>
          <w:p w14:paraId="3D050045" w14:textId="40254FE4" w:rsidR="001F70A0" w:rsidRPr="001F70A0" w:rsidRDefault="001F70A0" w:rsidP="001F70A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F70A0">
              <w:rPr>
                <w:rFonts w:ascii="Garamond" w:hAnsi="Garamond"/>
                <w:sz w:val="20"/>
                <w:szCs w:val="20"/>
              </w:rPr>
              <w:t>0.006424</w:t>
            </w:r>
          </w:p>
        </w:tc>
        <w:tc>
          <w:tcPr>
            <w:tcW w:w="0" w:type="auto"/>
          </w:tcPr>
          <w:p w14:paraId="03E83149" w14:textId="50961F9A" w:rsidR="001F70A0" w:rsidRPr="001F70A0" w:rsidRDefault="001F70A0" w:rsidP="001F70A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F70A0">
              <w:rPr>
                <w:rFonts w:ascii="Garamond" w:hAnsi="Garamond"/>
                <w:sz w:val="20"/>
                <w:szCs w:val="20"/>
              </w:rPr>
              <w:t>0.006310</w:t>
            </w:r>
          </w:p>
        </w:tc>
        <w:tc>
          <w:tcPr>
            <w:tcW w:w="0" w:type="auto"/>
          </w:tcPr>
          <w:p w14:paraId="7DB7654E" w14:textId="08555EA0" w:rsidR="001F70A0" w:rsidRPr="001F70A0" w:rsidRDefault="001F70A0" w:rsidP="001F70A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F70A0">
              <w:rPr>
                <w:rFonts w:ascii="Garamond" w:hAnsi="Garamond"/>
                <w:sz w:val="20"/>
                <w:szCs w:val="20"/>
              </w:rPr>
              <w:t>0.010700</w:t>
            </w:r>
          </w:p>
        </w:tc>
        <w:tc>
          <w:tcPr>
            <w:tcW w:w="0" w:type="auto"/>
          </w:tcPr>
          <w:p w14:paraId="7FB64C7B" w14:textId="1E1E3AC6" w:rsidR="001F70A0" w:rsidRPr="001F70A0" w:rsidRDefault="001F70A0" w:rsidP="001F70A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F70A0">
              <w:rPr>
                <w:rFonts w:ascii="Garamond" w:hAnsi="Garamond"/>
                <w:sz w:val="20"/>
                <w:szCs w:val="20"/>
              </w:rPr>
              <w:t>-0.011389</w:t>
            </w:r>
          </w:p>
        </w:tc>
        <w:tc>
          <w:tcPr>
            <w:tcW w:w="0" w:type="auto"/>
          </w:tcPr>
          <w:p w14:paraId="0FA1014C" w14:textId="0119E998" w:rsidR="001F70A0" w:rsidRPr="001F70A0" w:rsidRDefault="001F70A0" w:rsidP="001F70A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F70A0">
              <w:rPr>
                <w:rFonts w:ascii="Garamond" w:hAnsi="Garamond"/>
                <w:sz w:val="20"/>
                <w:szCs w:val="20"/>
              </w:rPr>
              <w:t>0.020598</w:t>
            </w:r>
          </w:p>
        </w:tc>
      </w:tr>
      <w:tr w:rsidR="001F70A0" w:rsidRPr="0023490B" w14:paraId="7C5BC341"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B7A9DF8" w14:textId="77777777" w:rsidR="001F70A0" w:rsidRPr="0023490B" w:rsidRDefault="001F70A0" w:rsidP="001F70A0">
            <w:pPr>
              <w:spacing w:after="160"/>
              <w:contextualSpacing/>
              <w:jc w:val="both"/>
              <w:rPr>
                <w:rFonts w:ascii="Garamond" w:hAnsi="Garamond"/>
                <w:sz w:val="20"/>
                <w:szCs w:val="20"/>
              </w:rPr>
            </w:pPr>
            <w:r w:rsidRPr="0023490B">
              <w:rPr>
                <w:rFonts w:ascii="Garamond" w:hAnsi="Garamond"/>
                <w:sz w:val="20"/>
                <w:szCs w:val="20"/>
              </w:rPr>
              <w:t>CAR</w:t>
            </w:r>
            <w:r>
              <w:rPr>
                <w:rFonts w:ascii="Garamond" w:hAnsi="Garamond"/>
                <w:sz w:val="20"/>
                <w:szCs w:val="20"/>
              </w:rPr>
              <w:t xml:space="preserve"> </w:t>
            </w:r>
            <w:r w:rsidRPr="0023490B">
              <w:rPr>
                <w:rFonts w:ascii="Garamond" w:hAnsi="Garamond"/>
                <w:sz w:val="20"/>
                <w:szCs w:val="20"/>
              </w:rPr>
              <w:t>(0,3)</w:t>
            </w:r>
          </w:p>
        </w:tc>
        <w:tc>
          <w:tcPr>
            <w:tcW w:w="0" w:type="auto"/>
          </w:tcPr>
          <w:p w14:paraId="5A0B19F8" w14:textId="4FC372E3" w:rsidR="001F70A0" w:rsidRPr="0023490B"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6</w:t>
            </w:r>
          </w:p>
        </w:tc>
        <w:tc>
          <w:tcPr>
            <w:tcW w:w="0" w:type="auto"/>
          </w:tcPr>
          <w:p w14:paraId="76F02811" w14:textId="105003AB"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0.069930</w:t>
            </w:r>
          </w:p>
        </w:tc>
        <w:tc>
          <w:tcPr>
            <w:tcW w:w="0" w:type="auto"/>
          </w:tcPr>
          <w:p w14:paraId="763E005F" w14:textId="47B012A4"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0.064101</w:t>
            </w:r>
          </w:p>
        </w:tc>
        <w:tc>
          <w:tcPr>
            <w:tcW w:w="0" w:type="auto"/>
          </w:tcPr>
          <w:p w14:paraId="43A12171" w14:textId="398E3F80"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0.027674</w:t>
            </w:r>
          </w:p>
        </w:tc>
        <w:tc>
          <w:tcPr>
            <w:tcW w:w="0" w:type="auto"/>
          </w:tcPr>
          <w:p w14:paraId="178CB94E" w14:textId="6E9D8913"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0.035671</w:t>
            </w:r>
          </w:p>
        </w:tc>
        <w:tc>
          <w:tcPr>
            <w:tcW w:w="0" w:type="auto"/>
          </w:tcPr>
          <w:p w14:paraId="0CADA33B" w14:textId="2726776B" w:rsidR="001F70A0" w:rsidRPr="001F70A0" w:rsidRDefault="001F70A0" w:rsidP="001F70A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F70A0">
              <w:rPr>
                <w:rFonts w:ascii="Garamond" w:hAnsi="Garamond"/>
                <w:sz w:val="20"/>
                <w:szCs w:val="20"/>
              </w:rPr>
              <w:t>0.116944</w:t>
            </w:r>
          </w:p>
        </w:tc>
      </w:tr>
    </w:tbl>
    <w:p w14:paraId="16FD7C22" w14:textId="77777777" w:rsidR="001F70A0" w:rsidRPr="00492D4C" w:rsidRDefault="001F70A0" w:rsidP="00AA552B">
      <w:pPr>
        <w:spacing w:after="160"/>
        <w:contextualSpacing/>
        <w:rPr>
          <w:rFonts w:ascii="Garamond" w:hAnsi="Garamond"/>
          <w:b/>
          <w:bCs/>
        </w:rPr>
      </w:pPr>
    </w:p>
    <w:p w14:paraId="51215216" w14:textId="77777777" w:rsidR="00AA552B" w:rsidRDefault="00AA552B" w:rsidP="00AA552B">
      <w:pPr>
        <w:jc w:val="both"/>
        <w:rPr>
          <w:rFonts w:ascii="Garamond" w:hAnsi="Garamond"/>
          <w:i/>
          <w:iCs/>
        </w:rPr>
      </w:pPr>
      <w:r w:rsidRPr="00492D4C">
        <w:rPr>
          <w:rFonts w:ascii="Garamond" w:hAnsi="Garamond"/>
          <w:b/>
          <w:bCs/>
          <w:i/>
          <w:iCs/>
        </w:rPr>
        <w:t>Source:</w:t>
      </w:r>
      <w:r w:rsidRPr="00492D4C">
        <w:rPr>
          <w:rFonts w:ascii="Garamond" w:hAnsi="Garamond"/>
          <w:i/>
          <w:iCs/>
        </w:rPr>
        <w:t xml:space="preserve"> </w:t>
      </w:r>
      <w:r w:rsidRPr="003F3A81">
        <w:rPr>
          <w:rFonts w:ascii="Garamond" w:hAnsi="Garamond"/>
          <w:i/>
          <w:iCs/>
        </w:rPr>
        <w:t>Processed by the author</w:t>
      </w:r>
      <w:r>
        <w:rPr>
          <w:rFonts w:ascii="Garamond" w:hAnsi="Garamond"/>
          <w:i/>
          <w:iCs/>
        </w:rPr>
        <w:t xml:space="preserve"> (2025)</w:t>
      </w:r>
    </w:p>
    <w:p w14:paraId="1B41A3C4" w14:textId="4034652E" w:rsidR="001F70A0" w:rsidRDefault="001F70A0" w:rsidP="00AA552B">
      <w:pPr>
        <w:ind w:firstLine="851"/>
        <w:jc w:val="both"/>
        <w:rPr>
          <w:rFonts w:ascii="Garamond" w:hAnsi="Garamond"/>
        </w:rPr>
      </w:pPr>
      <w:r w:rsidRPr="001F70A0">
        <w:rPr>
          <w:rFonts w:ascii="Garamond" w:hAnsi="Garamond"/>
        </w:rPr>
        <w:t xml:space="preserve">Based on the descriptive statistics, the average abnormal returns from </w:t>
      </w:r>
      <w:r w:rsidRPr="001F70A0">
        <w:rPr>
          <w:rFonts w:ascii="Garamond" w:hAnsi="Garamond"/>
          <w:b/>
          <w:bCs/>
        </w:rPr>
        <w:t>t0 through t+3</w:t>
      </w:r>
      <w:r w:rsidRPr="001F70A0">
        <w:rPr>
          <w:rFonts w:ascii="Garamond" w:hAnsi="Garamond"/>
        </w:rPr>
        <w:t xml:space="preserve"> are consistently positive, indicating that ASEAN stock markets reacted </w:t>
      </w:r>
      <w:proofErr w:type="spellStart"/>
      <w:r w:rsidRPr="001F70A0">
        <w:rPr>
          <w:rFonts w:ascii="Garamond" w:hAnsi="Garamond"/>
        </w:rPr>
        <w:t>favorably</w:t>
      </w:r>
      <w:proofErr w:type="spellEnd"/>
      <w:r w:rsidRPr="001F70A0">
        <w:rPr>
          <w:rFonts w:ascii="Garamond" w:hAnsi="Garamond"/>
        </w:rPr>
        <w:t xml:space="preserve"> to the U.S. “reciprocal” tariff pause announcement. The largest increase occurs on </w:t>
      </w:r>
      <w:r w:rsidRPr="001F70A0">
        <w:rPr>
          <w:rFonts w:ascii="Garamond" w:hAnsi="Garamond"/>
          <w:b/>
          <w:bCs/>
        </w:rPr>
        <w:t>t0 (4.55%)</w:t>
      </w:r>
      <w:r w:rsidRPr="001F70A0">
        <w:rPr>
          <w:rFonts w:ascii="Garamond" w:hAnsi="Garamond"/>
        </w:rPr>
        <w:t xml:space="preserve">, suggesting an immediate positive market response to the policy change. The cumulative abnormal return </w:t>
      </w:r>
      <w:r w:rsidRPr="001F70A0">
        <w:rPr>
          <w:rFonts w:ascii="Garamond" w:hAnsi="Garamond"/>
          <w:b/>
          <w:bCs/>
        </w:rPr>
        <w:t>CAR</w:t>
      </w:r>
      <w:r>
        <w:rPr>
          <w:rFonts w:ascii="Garamond" w:hAnsi="Garamond"/>
          <w:b/>
          <w:bCs/>
        </w:rPr>
        <w:t xml:space="preserve"> </w:t>
      </w:r>
      <w:r w:rsidRPr="001F70A0">
        <w:rPr>
          <w:rFonts w:ascii="Garamond" w:hAnsi="Garamond"/>
          <w:b/>
          <w:bCs/>
        </w:rPr>
        <w:t>(0,3) of 6.99%</w:t>
      </w:r>
      <w:r w:rsidRPr="001F70A0">
        <w:rPr>
          <w:rFonts w:ascii="Garamond" w:hAnsi="Garamond"/>
        </w:rPr>
        <w:t xml:space="preserve"> confirms that the positive impact was substantial and sustained over the event window. Relatively large standard deviations, particularly at </w:t>
      </w:r>
      <w:r w:rsidRPr="001F70A0">
        <w:rPr>
          <w:rFonts w:ascii="Garamond" w:hAnsi="Garamond"/>
          <w:b/>
          <w:bCs/>
        </w:rPr>
        <w:t>t0</w:t>
      </w:r>
      <w:r w:rsidRPr="001F70A0">
        <w:rPr>
          <w:rFonts w:ascii="Garamond" w:hAnsi="Garamond"/>
        </w:rPr>
        <w:t xml:space="preserve"> and </w:t>
      </w:r>
      <w:r w:rsidRPr="001F70A0">
        <w:rPr>
          <w:rFonts w:ascii="Garamond" w:hAnsi="Garamond"/>
          <w:b/>
          <w:bCs/>
        </w:rPr>
        <w:t>t+1</w:t>
      </w:r>
      <w:r w:rsidRPr="001F70A0">
        <w:rPr>
          <w:rFonts w:ascii="Garamond" w:hAnsi="Garamond"/>
        </w:rPr>
        <w:t xml:space="preserve">, indicate variation in the magnitude of market responses across countries. In addition, the gap between the minimum and maximum values reflects short-term heterogeneity in market reactions. Although minor corrections appear after the announcement day, the consistently positive abnormal returns and </w:t>
      </w:r>
      <w:r w:rsidRPr="001F70A0">
        <w:rPr>
          <w:rFonts w:ascii="Garamond" w:hAnsi="Garamond"/>
        </w:rPr>
        <w:lastRenderedPageBreak/>
        <w:t>cumulative gains suggest that the market largely adjusted to the information by the end of the observation period.</w:t>
      </w:r>
    </w:p>
    <w:p w14:paraId="7D05F010" w14:textId="77777777" w:rsidR="00AA552B" w:rsidRPr="00361EEF" w:rsidRDefault="00AA552B" w:rsidP="00AA552B">
      <w:pPr>
        <w:jc w:val="both"/>
        <w:rPr>
          <w:rFonts w:ascii="Garamond" w:hAnsi="Garamond"/>
          <w:i/>
          <w:iCs/>
        </w:rPr>
      </w:pPr>
    </w:p>
    <w:p w14:paraId="0656F049" w14:textId="3B9429DF" w:rsidR="00AA552B" w:rsidRDefault="00AA552B" w:rsidP="00AA552B">
      <w:pPr>
        <w:spacing w:after="160"/>
        <w:contextualSpacing/>
        <w:jc w:val="center"/>
        <w:rPr>
          <w:rFonts w:ascii="Garamond" w:hAnsi="Garamond"/>
          <w:b/>
          <w:bCs/>
        </w:rPr>
      </w:pPr>
      <w:r w:rsidRPr="00492D4C">
        <w:rPr>
          <w:rFonts w:ascii="Garamond" w:hAnsi="Garamond"/>
          <w:b/>
          <w:bCs/>
        </w:rPr>
        <w:t xml:space="preserve">Table </w:t>
      </w:r>
      <w:r w:rsidR="00247575">
        <w:rPr>
          <w:rFonts w:ascii="Garamond" w:hAnsi="Garamond"/>
          <w:b/>
          <w:bCs/>
        </w:rPr>
        <w:t>V</w:t>
      </w:r>
      <w:r w:rsidRPr="00492D4C">
        <w:rPr>
          <w:rFonts w:ascii="Garamond" w:hAnsi="Garamond"/>
          <w:b/>
          <w:bCs/>
        </w:rPr>
        <w:t>.</w:t>
      </w:r>
      <w:r>
        <w:rPr>
          <w:rFonts w:ascii="Garamond" w:hAnsi="Garamond"/>
          <w:b/>
          <w:bCs/>
        </w:rPr>
        <w:t xml:space="preserve"> </w:t>
      </w:r>
      <w:r w:rsidR="00CA5329" w:rsidRPr="001F70A0">
        <w:rPr>
          <w:rFonts w:ascii="Garamond" w:hAnsi="Garamond"/>
          <w:b/>
          <w:bCs/>
        </w:rPr>
        <w:t>Descriptive Statistics</w:t>
      </w:r>
      <w:r w:rsidR="00CA5329">
        <w:rPr>
          <w:rFonts w:ascii="Garamond" w:hAnsi="Garamond"/>
          <w:b/>
          <w:bCs/>
        </w:rPr>
        <w:t xml:space="preserve"> </w:t>
      </w:r>
      <w:r w:rsidR="001E0EE0" w:rsidRPr="001F70A0">
        <w:rPr>
          <w:rFonts w:ascii="Garamond" w:hAnsi="Garamond"/>
          <w:b/>
          <w:bCs/>
        </w:rPr>
        <w:t xml:space="preserve">Event </w:t>
      </w:r>
      <w:r w:rsidR="001E0EE0">
        <w:rPr>
          <w:rFonts w:ascii="Garamond" w:hAnsi="Garamond"/>
          <w:b/>
          <w:bCs/>
        </w:rPr>
        <w:t xml:space="preserve">3 </w:t>
      </w:r>
      <w:r w:rsidR="001E0EE0" w:rsidRPr="001F70A0">
        <w:rPr>
          <w:rFonts w:ascii="Garamond" w:hAnsi="Garamond"/>
          <w:b/>
          <w:bCs/>
        </w:rPr>
        <w:t xml:space="preserve">(Tariff </w:t>
      </w:r>
      <w:r w:rsidR="001E0EE0">
        <w:rPr>
          <w:rFonts w:ascii="Garamond" w:hAnsi="Garamond"/>
          <w:b/>
          <w:bCs/>
        </w:rPr>
        <w:t>Adjustment</w:t>
      </w:r>
      <w:r w:rsidR="001E0EE0" w:rsidRPr="001F70A0">
        <w:rPr>
          <w:rFonts w:ascii="Garamond" w:hAnsi="Garamond"/>
          <w:b/>
          <w:bCs/>
        </w:rPr>
        <w:t xml:space="preserve"> Announcement)</w:t>
      </w:r>
    </w:p>
    <w:p w14:paraId="0CB9925F" w14:textId="77777777" w:rsidR="001E0EE0" w:rsidRPr="00492D4C" w:rsidRDefault="001E0EE0" w:rsidP="00AA552B">
      <w:pPr>
        <w:spacing w:after="160"/>
        <w:contextualSpacing/>
        <w:jc w:val="center"/>
        <w:rPr>
          <w:rFonts w:ascii="Garamond" w:hAnsi="Garamond"/>
          <w:b/>
          <w:bCs/>
        </w:rPr>
      </w:pPr>
    </w:p>
    <w:tbl>
      <w:tblPr>
        <w:tblStyle w:val="PlainTable1"/>
        <w:tblW w:w="0" w:type="auto"/>
        <w:jc w:val="center"/>
        <w:tblLook w:val="04A0" w:firstRow="1" w:lastRow="0" w:firstColumn="1" w:lastColumn="0" w:noHBand="0" w:noVBand="1"/>
      </w:tblPr>
      <w:tblGrid>
        <w:gridCol w:w="1054"/>
        <w:gridCol w:w="385"/>
        <w:gridCol w:w="916"/>
        <w:gridCol w:w="916"/>
        <w:gridCol w:w="1421"/>
        <w:gridCol w:w="979"/>
        <w:gridCol w:w="916"/>
      </w:tblGrid>
      <w:tr w:rsidR="001E0EE0" w:rsidRPr="0023490B" w14:paraId="6DFB197F" w14:textId="77777777" w:rsidTr="006A44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1A3223" w14:textId="1604EE36" w:rsidR="001E0EE0" w:rsidRPr="0023490B" w:rsidRDefault="00DE757B" w:rsidP="006A44E8">
            <w:pPr>
              <w:spacing w:after="160"/>
              <w:contextualSpacing/>
              <w:jc w:val="both"/>
              <w:rPr>
                <w:rFonts w:ascii="Garamond" w:hAnsi="Garamond"/>
                <w:sz w:val="20"/>
                <w:szCs w:val="20"/>
              </w:rPr>
            </w:pPr>
            <w:r>
              <w:rPr>
                <w:rFonts w:ascii="Garamond" w:hAnsi="Garamond"/>
                <w:sz w:val="20"/>
                <w:szCs w:val="20"/>
              </w:rPr>
              <w:t>Day</w:t>
            </w:r>
          </w:p>
        </w:tc>
        <w:tc>
          <w:tcPr>
            <w:tcW w:w="0" w:type="auto"/>
            <w:hideMark/>
          </w:tcPr>
          <w:p w14:paraId="1D023392" w14:textId="77777777" w:rsidR="001E0EE0" w:rsidRPr="0023490B" w:rsidRDefault="001E0EE0"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N</w:t>
            </w:r>
          </w:p>
        </w:tc>
        <w:tc>
          <w:tcPr>
            <w:tcW w:w="0" w:type="auto"/>
            <w:hideMark/>
          </w:tcPr>
          <w:p w14:paraId="78812D1F" w14:textId="77777777" w:rsidR="001E0EE0" w:rsidRPr="0023490B" w:rsidRDefault="001E0EE0"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Mean</w:t>
            </w:r>
          </w:p>
        </w:tc>
        <w:tc>
          <w:tcPr>
            <w:tcW w:w="0" w:type="auto"/>
          </w:tcPr>
          <w:p w14:paraId="0EACEA3D" w14:textId="77777777" w:rsidR="001E0EE0" w:rsidRPr="0023490B" w:rsidRDefault="001E0EE0"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Median</w:t>
            </w:r>
          </w:p>
        </w:tc>
        <w:tc>
          <w:tcPr>
            <w:tcW w:w="0" w:type="auto"/>
          </w:tcPr>
          <w:p w14:paraId="1AA2CFE6" w14:textId="77777777" w:rsidR="001E0EE0" w:rsidRPr="0023490B" w:rsidRDefault="001E0EE0"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Std. Deviation</w:t>
            </w:r>
          </w:p>
        </w:tc>
        <w:tc>
          <w:tcPr>
            <w:tcW w:w="0" w:type="auto"/>
          </w:tcPr>
          <w:p w14:paraId="730E64B2" w14:textId="77777777" w:rsidR="001E0EE0" w:rsidRPr="0023490B" w:rsidRDefault="001E0EE0"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Min.</w:t>
            </w:r>
          </w:p>
        </w:tc>
        <w:tc>
          <w:tcPr>
            <w:tcW w:w="0" w:type="auto"/>
          </w:tcPr>
          <w:p w14:paraId="0A39FF12" w14:textId="77777777" w:rsidR="001E0EE0" w:rsidRPr="0023490B" w:rsidRDefault="001E0EE0"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3490B">
              <w:rPr>
                <w:rFonts w:ascii="Garamond" w:hAnsi="Garamond"/>
                <w:sz w:val="20"/>
                <w:szCs w:val="20"/>
              </w:rPr>
              <w:t>Max.</w:t>
            </w:r>
          </w:p>
        </w:tc>
      </w:tr>
      <w:tr w:rsidR="001E0EE0" w:rsidRPr="0023490B" w14:paraId="6CECABA4"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0E13AC" w14:textId="77777777" w:rsidR="001E0EE0" w:rsidRPr="0023490B" w:rsidRDefault="001E0EE0" w:rsidP="001E0EE0">
            <w:pPr>
              <w:spacing w:after="160"/>
              <w:contextualSpacing/>
              <w:jc w:val="both"/>
              <w:rPr>
                <w:rFonts w:ascii="Garamond" w:hAnsi="Garamond"/>
                <w:sz w:val="20"/>
                <w:szCs w:val="20"/>
              </w:rPr>
            </w:pPr>
            <w:r w:rsidRPr="0023490B">
              <w:rPr>
                <w:rFonts w:ascii="Garamond" w:hAnsi="Garamond"/>
                <w:sz w:val="20"/>
                <w:szCs w:val="20"/>
              </w:rPr>
              <w:t>t0</w:t>
            </w:r>
          </w:p>
        </w:tc>
        <w:tc>
          <w:tcPr>
            <w:tcW w:w="0" w:type="auto"/>
            <w:hideMark/>
          </w:tcPr>
          <w:p w14:paraId="1815951D" w14:textId="77777777" w:rsidR="001E0EE0" w:rsidRPr="0023490B"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6</w:t>
            </w:r>
          </w:p>
        </w:tc>
        <w:tc>
          <w:tcPr>
            <w:tcW w:w="0" w:type="auto"/>
            <w:hideMark/>
          </w:tcPr>
          <w:p w14:paraId="0F063508" w14:textId="0E6C03D5"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0.000674</w:t>
            </w:r>
          </w:p>
        </w:tc>
        <w:tc>
          <w:tcPr>
            <w:tcW w:w="0" w:type="auto"/>
          </w:tcPr>
          <w:p w14:paraId="7C2D2FEC" w14:textId="677D887F"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0.001580</w:t>
            </w:r>
          </w:p>
        </w:tc>
        <w:tc>
          <w:tcPr>
            <w:tcW w:w="0" w:type="auto"/>
          </w:tcPr>
          <w:p w14:paraId="6C945D87" w14:textId="1B358A30"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0.012100</w:t>
            </w:r>
          </w:p>
        </w:tc>
        <w:tc>
          <w:tcPr>
            <w:tcW w:w="0" w:type="auto"/>
          </w:tcPr>
          <w:p w14:paraId="12D4FA5C" w14:textId="42FB84D7"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-0.017534</w:t>
            </w:r>
          </w:p>
        </w:tc>
        <w:tc>
          <w:tcPr>
            <w:tcW w:w="0" w:type="auto"/>
          </w:tcPr>
          <w:p w14:paraId="0F9547B5" w14:textId="6C9242C7"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0.014027</w:t>
            </w:r>
          </w:p>
        </w:tc>
      </w:tr>
      <w:tr w:rsidR="001E0EE0" w:rsidRPr="0023490B" w14:paraId="3FE87D7F"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8197F5" w14:textId="77777777" w:rsidR="001E0EE0" w:rsidRPr="0023490B" w:rsidRDefault="001E0EE0" w:rsidP="001E0EE0">
            <w:pPr>
              <w:spacing w:after="160"/>
              <w:contextualSpacing/>
              <w:jc w:val="both"/>
              <w:rPr>
                <w:rFonts w:ascii="Garamond" w:hAnsi="Garamond"/>
                <w:sz w:val="20"/>
                <w:szCs w:val="20"/>
              </w:rPr>
            </w:pPr>
            <w:r w:rsidRPr="0023490B">
              <w:rPr>
                <w:rFonts w:ascii="Garamond" w:hAnsi="Garamond"/>
                <w:sz w:val="20"/>
                <w:szCs w:val="20"/>
              </w:rPr>
              <w:t>t+1</w:t>
            </w:r>
          </w:p>
        </w:tc>
        <w:tc>
          <w:tcPr>
            <w:tcW w:w="0" w:type="auto"/>
            <w:hideMark/>
          </w:tcPr>
          <w:p w14:paraId="5CAF62B3" w14:textId="77777777" w:rsidR="001E0EE0" w:rsidRPr="0023490B" w:rsidRDefault="001E0EE0" w:rsidP="001E0EE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6</w:t>
            </w:r>
          </w:p>
        </w:tc>
        <w:tc>
          <w:tcPr>
            <w:tcW w:w="0" w:type="auto"/>
            <w:hideMark/>
          </w:tcPr>
          <w:p w14:paraId="4F6A5EEB" w14:textId="49001D33" w:rsidR="001E0EE0" w:rsidRPr="001E0EE0" w:rsidRDefault="001E0EE0" w:rsidP="001E0EE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E0EE0">
              <w:rPr>
                <w:rFonts w:ascii="Garamond" w:hAnsi="Garamond"/>
                <w:sz w:val="20"/>
                <w:szCs w:val="20"/>
              </w:rPr>
              <w:t>0.006424</w:t>
            </w:r>
          </w:p>
        </w:tc>
        <w:tc>
          <w:tcPr>
            <w:tcW w:w="0" w:type="auto"/>
          </w:tcPr>
          <w:p w14:paraId="3EC83ACF" w14:textId="04C09E56" w:rsidR="001E0EE0" w:rsidRPr="001E0EE0" w:rsidRDefault="001E0EE0" w:rsidP="001E0EE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E0EE0">
              <w:rPr>
                <w:rFonts w:ascii="Garamond" w:hAnsi="Garamond"/>
                <w:sz w:val="20"/>
                <w:szCs w:val="20"/>
              </w:rPr>
              <w:t>0.008895</w:t>
            </w:r>
          </w:p>
        </w:tc>
        <w:tc>
          <w:tcPr>
            <w:tcW w:w="0" w:type="auto"/>
          </w:tcPr>
          <w:p w14:paraId="2284DE15" w14:textId="0F01EE65" w:rsidR="001E0EE0" w:rsidRPr="001E0EE0" w:rsidRDefault="001E0EE0" w:rsidP="001E0EE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E0EE0">
              <w:rPr>
                <w:rFonts w:ascii="Garamond" w:hAnsi="Garamond"/>
                <w:sz w:val="20"/>
                <w:szCs w:val="20"/>
              </w:rPr>
              <w:t>0.010797</w:t>
            </w:r>
          </w:p>
        </w:tc>
        <w:tc>
          <w:tcPr>
            <w:tcW w:w="0" w:type="auto"/>
          </w:tcPr>
          <w:p w14:paraId="5E489F06" w14:textId="5C0E6C39" w:rsidR="001E0EE0" w:rsidRPr="001E0EE0" w:rsidRDefault="001E0EE0" w:rsidP="001E0EE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E0EE0">
              <w:rPr>
                <w:rFonts w:ascii="Garamond" w:hAnsi="Garamond"/>
                <w:sz w:val="20"/>
                <w:szCs w:val="20"/>
              </w:rPr>
              <w:t>-0.008351</w:t>
            </w:r>
          </w:p>
        </w:tc>
        <w:tc>
          <w:tcPr>
            <w:tcW w:w="0" w:type="auto"/>
          </w:tcPr>
          <w:p w14:paraId="23098964" w14:textId="2400FC2A" w:rsidR="001E0EE0" w:rsidRPr="001E0EE0" w:rsidRDefault="001E0EE0" w:rsidP="001E0EE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E0EE0">
              <w:rPr>
                <w:rFonts w:ascii="Garamond" w:hAnsi="Garamond"/>
                <w:sz w:val="20"/>
                <w:szCs w:val="20"/>
              </w:rPr>
              <w:t>0.021711</w:t>
            </w:r>
          </w:p>
        </w:tc>
      </w:tr>
      <w:tr w:rsidR="001E0EE0" w:rsidRPr="0023490B" w14:paraId="59802A87"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234581" w14:textId="77777777" w:rsidR="001E0EE0" w:rsidRPr="0023490B" w:rsidRDefault="001E0EE0" w:rsidP="001E0EE0">
            <w:pPr>
              <w:spacing w:after="160"/>
              <w:contextualSpacing/>
              <w:jc w:val="both"/>
              <w:rPr>
                <w:rFonts w:ascii="Garamond" w:hAnsi="Garamond"/>
                <w:sz w:val="20"/>
                <w:szCs w:val="20"/>
              </w:rPr>
            </w:pPr>
            <w:r w:rsidRPr="0023490B">
              <w:rPr>
                <w:rFonts w:ascii="Garamond" w:hAnsi="Garamond"/>
                <w:sz w:val="20"/>
                <w:szCs w:val="20"/>
              </w:rPr>
              <w:t>t+2</w:t>
            </w:r>
          </w:p>
        </w:tc>
        <w:tc>
          <w:tcPr>
            <w:tcW w:w="0" w:type="auto"/>
          </w:tcPr>
          <w:p w14:paraId="452E53EF" w14:textId="77777777" w:rsidR="001E0EE0" w:rsidRPr="0023490B"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6</w:t>
            </w:r>
          </w:p>
        </w:tc>
        <w:tc>
          <w:tcPr>
            <w:tcW w:w="0" w:type="auto"/>
          </w:tcPr>
          <w:p w14:paraId="1D56CB26" w14:textId="4A40EA2B"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0.008124</w:t>
            </w:r>
          </w:p>
        </w:tc>
        <w:tc>
          <w:tcPr>
            <w:tcW w:w="0" w:type="auto"/>
          </w:tcPr>
          <w:p w14:paraId="25BC23AF" w14:textId="1FB725A0"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0.008238</w:t>
            </w:r>
          </w:p>
        </w:tc>
        <w:tc>
          <w:tcPr>
            <w:tcW w:w="0" w:type="auto"/>
          </w:tcPr>
          <w:p w14:paraId="3DB1B0DD" w14:textId="23D12E22"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0.005495</w:t>
            </w:r>
          </w:p>
        </w:tc>
        <w:tc>
          <w:tcPr>
            <w:tcW w:w="0" w:type="auto"/>
          </w:tcPr>
          <w:p w14:paraId="64DAE247" w14:textId="77D292D6"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0.001898</w:t>
            </w:r>
          </w:p>
        </w:tc>
        <w:tc>
          <w:tcPr>
            <w:tcW w:w="0" w:type="auto"/>
          </w:tcPr>
          <w:p w14:paraId="3C27AF63" w14:textId="217FF852"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0.016066</w:t>
            </w:r>
          </w:p>
        </w:tc>
      </w:tr>
      <w:tr w:rsidR="001E0EE0" w:rsidRPr="0023490B" w14:paraId="22AD7523"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EC5469" w14:textId="77777777" w:rsidR="001E0EE0" w:rsidRPr="0023490B" w:rsidRDefault="001E0EE0" w:rsidP="001E0EE0">
            <w:pPr>
              <w:spacing w:after="160"/>
              <w:contextualSpacing/>
              <w:jc w:val="both"/>
              <w:rPr>
                <w:rFonts w:ascii="Garamond" w:hAnsi="Garamond"/>
                <w:sz w:val="20"/>
                <w:szCs w:val="20"/>
              </w:rPr>
            </w:pPr>
            <w:r w:rsidRPr="0023490B">
              <w:rPr>
                <w:rFonts w:ascii="Garamond" w:hAnsi="Garamond"/>
                <w:sz w:val="20"/>
                <w:szCs w:val="20"/>
              </w:rPr>
              <w:t>t+3</w:t>
            </w:r>
          </w:p>
        </w:tc>
        <w:tc>
          <w:tcPr>
            <w:tcW w:w="0" w:type="auto"/>
          </w:tcPr>
          <w:p w14:paraId="196F120B" w14:textId="77777777" w:rsidR="001E0EE0" w:rsidRPr="0023490B" w:rsidRDefault="001E0EE0" w:rsidP="001E0EE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6</w:t>
            </w:r>
          </w:p>
        </w:tc>
        <w:tc>
          <w:tcPr>
            <w:tcW w:w="0" w:type="auto"/>
          </w:tcPr>
          <w:p w14:paraId="5513F7ED" w14:textId="7B27A265" w:rsidR="001E0EE0" w:rsidRPr="001E0EE0" w:rsidRDefault="001E0EE0" w:rsidP="001E0EE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E0EE0">
              <w:rPr>
                <w:rFonts w:ascii="Garamond" w:hAnsi="Garamond"/>
                <w:sz w:val="20"/>
                <w:szCs w:val="20"/>
              </w:rPr>
              <w:t>0.007141</w:t>
            </w:r>
          </w:p>
        </w:tc>
        <w:tc>
          <w:tcPr>
            <w:tcW w:w="0" w:type="auto"/>
          </w:tcPr>
          <w:p w14:paraId="7A1B2752" w14:textId="71D8A9A2" w:rsidR="001E0EE0" w:rsidRPr="001E0EE0" w:rsidRDefault="001E0EE0" w:rsidP="001E0EE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E0EE0">
              <w:rPr>
                <w:rFonts w:ascii="Garamond" w:hAnsi="Garamond"/>
                <w:sz w:val="20"/>
                <w:szCs w:val="20"/>
              </w:rPr>
              <w:t>0.003945</w:t>
            </w:r>
          </w:p>
        </w:tc>
        <w:tc>
          <w:tcPr>
            <w:tcW w:w="0" w:type="auto"/>
          </w:tcPr>
          <w:p w14:paraId="7EC06806" w14:textId="6A903A3F" w:rsidR="001E0EE0" w:rsidRPr="001E0EE0" w:rsidRDefault="001E0EE0" w:rsidP="001E0EE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E0EE0">
              <w:rPr>
                <w:rFonts w:ascii="Garamond" w:hAnsi="Garamond"/>
                <w:sz w:val="20"/>
                <w:szCs w:val="20"/>
              </w:rPr>
              <w:t>0.007251</w:t>
            </w:r>
          </w:p>
        </w:tc>
        <w:tc>
          <w:tcPr>
            <w:tcW w:w="0" w:type="auto"/>
          </w:tcPr>
          <w:p w14:paraId="3663BC78" w14:textId="3309FB28" w:rsidR="001E0EE0" w:rsidRPr="001E0EE0" w:rsidRDefault="001E0EE0" w:rsidP="001E0EE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E0EE0">
              <w:rPr>
                <w:rFonts w:ascii="Garamond" w:hAnsi="Garamond"/>
                <w:sz w:val="20"/>
                <w:szCs w:val="20"/>
              </w:rPr>
              <w:t>-0.000151</w:t>
            </w:r>
          </w:p>
        </w:tc>
        <w:tc>
          <w:tcPr>
            <w:tcW w:w="0" w:type="auto"/>
          </w:tcPr>
          <w:p w14:paraId="2B421F09" w14:textId="73B572D8" w:rsidR="001E0EE0" w:rsidRPr="001E0EE0" w:rsidRDefault="001E0EE0" w:rsidP="001E0EE0">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1E0EE0">
              <w:rPr>
                <w:rFonts w:ascii="Garamond" w:hAnsi="Garamond"/>
                <w:sz w:val="20"/>
                <w:szCs w:val="20"/>
              </w:rPr>
              <w:t>0.016811</w:t>
            </w:r>
          </w:p>
        </w:tc>
      </w:tr>
      <w:tr w:rsidR="001E0EE0" w:rsidRPr="0023490B" w14:paraId="4FCE00BC"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3738386" w14:textId="77777777" w:rsidR="001E0EE0" w:rsidRPr="0023490B" w:rsidRDefault="001E0EE0" w:rsidP="001E0EE0">
            <w:pPr>
              <w:spacing w:after="160"/>
              <w:contextualSpacing/>
              <w:jc w:val="both"/>
              <w:rPr>
                <w:rFonts w:ascii="Garamond" w:hAnsi="Garamond"/>
                <w:sz w:val="20"/>
                <w:szCs w:val="20"/>
              </w:rPr>
            </w:pPr>
            <w:r w:rsidRPr="0023490B">
              <w:rPr>
                <w:rFonts w:ascii="Garamond" w:hAnsi="Garamond"/>
                <w:sz w:val="20"/>
                <w:szCs w:val="20"/>
              </w:rPr>
              <w:t>CAR</w:t>
            </w:r>
            <w:r>
              <w:rPr>
                <w:rFonts w:ascii="Garamond" w:hAnsi="Garamond"/>
                <w:sz w:val="20"/>
                <w:szCs w:val="20"/>
              </w:rPr>
              <w:t xml:space="preserve"> </w:t>
            </w:r>
            <w:r w:rsidRPr="0023490B">
              <w:rPr>
                <w:rFonts w:ascii="Garamond" w:hAnsi="Garamond"/>
                <w:sz w:val="20"/>
                <w:szCs w:val="20"/>
              </w:rPr>
              <w:t>(0,3)</w:t>
            </w:r>
          </w:p>
        </w:tc>
        <w:tc>
          <w:tcPr>
            <w:tcW w:w="0" w:type="auto"/>
          </w:tcPr>
          <w:p w14:paraId="31899448" w14:textId="77777777" w:rsidR="001E0EE0" w:rsidRPr="0023490B"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6</w:t>
            </w:r>
          </w:p>
        </w:tc>
        <w:tc>
          <w:tcPr>
            <w:tcW w:w="0" w:type="auto"/>
          </w:tcPr>
          <w:p w14:paraId="060A5784" w14:textId="11A0F28B"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0.022363</w:t>
            </w:r>
          </w:p>
        </w:tc>
        <w:tc>
          <w:tcPr>
            <w:tcW w:w="0" w:type="auto"/>
          </w:tcPr>
          <w:p w14:paraId="55CC0FC2" w14:textId="2B4F2E27"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0.023040</w:t>
            </w:r>
          </w:p>
        </w:tc>
        <w:tc>
          <w:tcPr>
            <w:tcW w:w="0" w:type="auto"/>
          </w:tcPr>
          <w:p w14:paraId="10857725" w14:textId="7D11E12A"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0.013448</w:t>
            </w:r>
          </w:p>
        </w:tc>
        <w:tc>
          <w:tcPr>
            <w:tcW w:w="0" w:type="auto"/>
          </w:tcPr>
          <w:p w14:paraId="6B388EF8" w14:textId="14B3F9D2"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0.008096</w:t>
            </w:r>
          </w:p>
        </w:tc>
        <w:tc>
          <w:tcPr>
            <w:tcW w:w="0" w:type="auto"/>
          </w:tcPr>
          <w:p w14:paraId="73D1B9B3" w14:textId="6FB87100" w:rsidR="001E0EE0" w:rsidRPr="001E0EE0" w:rsidRDefault="001E0EE0" w:rsidP="001E0EE0">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1E0EE0">
              <w:rPr>
                <w:rFonts w:ascii="Garamond" w:hAnsi="Garamond"/>
                <w:sz w:val="20"/>
                <w:szCs w:val="20"/>
              </w:rPr>
              <w:t>0.045244</w:t>
            </w:r>
          </w:p>
        </w:tc>
      </w:tr>
    </w:tbl>
    <w:p w14:paraId="504CCF46" w14:textId="77777777" w:rsidR="00AA552B" w:rsidRPr="00492D4C" w:rsidRDefault="00AA552B" w:rsidP="00AA552B">
      <w:pPr>
        <w:spacing w:after="160"/>
        <w:contextualSpacing/>
        <w:rPr>
          <w:rFonts w:ascii="Garamond" w:hAnsi="Garamond"/>
          <w:b/>
          <w:bCs/>
        </w:rPr>
      </w:pPr>
    </w:p>
    <w:p w14:paraId="5A80FCA7" w14:textId="77777777" w:rsidR="00AA552B" w:rsidRDefault="00AA552B" w:rsidP="00AA552B">
      <w:pPr>
        <w:jc w:val="both"/>
        <w:rPr>
          <w:rFonts w:ascii="Garamond" w:hAnsi="Garamond"/>
          <w:i/>
          <w:iCs/>
        </w:rPr>
      </w:pPr>
      <w:r w:rsidRPr="00492D4C">
        <w:rPr>
          <w:rFonts w:ascii="Garamond" w:hAnsi="Garamond"/>
          <w:b/>
          <w:bCs/>
          <w:i/>
          <w:iCs/>
        </w:rPr>
        <w:t>Source:</w:t>
      </w:r>
      <w:r w:rsidRPr="00492D4C">
        <w:rPr>
          <w:rFonts w:ascii="Garamond" w:hAnsi="Garamond"/>
          <w:i/>
          <w:iCs/>
        </w:rPr>
        <w:t xml:space="preserve"> </w:t>
      </w:r>
      <w:r w:rsidRPr="003F3A81">
        <w:rPr>
          <w:rFonts w:ascii="Garamond" w:hAnsi="Garamond"/>
          <w:i/>
          <w:iCs/>
        </w:rPr>
        <w:t>Processed by the author</w:t>
      </w:r>
      <w:r>
        <w:rPr>
          <w:rFonts w:ascii="Garamond" w:hAnsi="Garamond"/>
          <w:i/>
          <w:iCs/>
        </w:rPr>
        <w:t xml:space="preserve"> (2025)</w:t>
      </w:r>
    </w:p>
    <w:p w14:paraId="60DE7611" w14:textId="377C0051" w:rsidR="00CA5329" w:rsidRDefault="00F477AE" w:rsidP="00CA5329">
      <w:pPr>
        <w:ind w:firstLine="851"/>
        <w:jc w:val="both"/>
        <w:rPr>
          <w:rFonts w:ascii="Garamond" w:hAnsi="Garamond"/>
        </w:rPr>
      </w:pPr>
      <w:r w:rsidRPr="00F477AE">
        <w:rPr>
          <w:rFonts w:ascii="Garamond" w:hAnsi="Garamond"/>
        </w:rPr>
        <w:t xml:space="preserve">Based on the descriptive statistics, the average abnormal returns from </w:t>
      </w:r>
      <w:r w:rsidRPr="00F477AE">
        <w:rPr>
          <w:rFonts w:ascii="Garamond" w:hAnsi="Garamond"/>
          <w:b/>
          <w:bCs/>
        </w:rPr>
        <w:t>t0 through t+3</w:t>
      </w:r>
      <w:r w:rsidRPr="00F477AE">
        <w:rPr>
          <w:rFonts w:ascii="Garamond" w:hAnsi="Garamond"/>
        </w:rPr>
        <w:t xml:space="preserve"> are consistently positive, indicating that ASEAN stock markets reacted moderately positively to the U.S. tariff adjustment announcement. The abnormal return at </w:t>
      </w:r>
      <w:r w:rsidRPr="00F477AE">
        <w:rPr>
          <w:rFonts w:ascii="Garamond" w:hAnsi="Garamond"/>
          <w:b/>
          <w:bCs/>
        </w:rPr>
        <w:t>t0</w:t>
      </w:r>
      <w:r w:rsidRPr="00F477AE">
        <w:rPr>
          <w:rFonts w:ascii="Garamond" w:hAnsi="Garamond"/>
        </w:rPr>
        <w:t xml:space="preserve"> is close to zero, suggesting that the announcement did not trigger a strong immediate market reaction, while higher mean values at </w:t>
      </w:r>
      <w:r w:rsidRPr="00F477AE">
        <w:rPr>
          <w:rFonts w:ascii="Garamond" w:hAnsi="Garamond"/>
          <w:b/>
          <w:bCs/>
        </w:rPr>
        <w:t>t+1 to t+3</w:t>
      </w:r>
      <w:r w:rsidRPr="00F477AE">
        <w:rPr>
          <w:rFonts w:ascii="Garamond" w:hAnsi="Garamond"/>
        </w:rPr>
        <w:t xml:space="preserve"> indicate a gradual positive response in the days following the event. The positive </w:t>
      </w:r>
      <w:r w:rsidRPr="00F477AE">
        <w:rPr>
          <w:rFonts w:ascii="Garamond" w:hAnsi="Garamond"/>
          <w:b/>
          <w:bCs/>
        </w:rPr>
        <w:t xml:space="preserve">cumulative abnormal return </w:t>
      </w:r>
      <w:proofErr w:type="gramStart"/>
      <w:r w:rsidRPr="00F477AE">
        <w:rPr>
          <w:rFonts w:ascii="Garamond" w:hAnsi="Garamond"/>
          <w:b/>
          <w:bCs/>
        </w:rPr>
        <w:t>CAR(</w:t>
      </w:r>
      <w:proofErr w:type="gramEnd"/>
      <w:r w:rsidRPr="00F477AE">
        <w:rPr>
          <w:rFonts w:ascii="Garamond" w:hAnsi="Garamond"/>
          <w:b/>
          <w:bCs/>
        </w:rPr>
        <w:t>0,3) of 2.24%</w:t>
      </w:r>
      <w:r w:rsidRPr="00F477AE">
        <w:rPr>
          <w:rFonts w:ascii="Garamond" w:hAnsi="Garamond"/>
        </w:rPr>
        <w:t xml:space="preserve"> confirms that the overall market impact was </w:t>
      </w:r>
      <w:proofErr w:type="spellStart"/>
      <w:r w:rsidRPr="00F477AE">
        <w:rPr>
          <w:rFonts w:ascii="Garamond" w:hAnsi="Garamond"/>
        </w:rPr>
        <w:t>favorable</w:t>
      </w:r>
      <w:proofErr w:type="spellEnd"/>
      <w:r w:rsidRPr="00F477AE">
        <w:rPr>
          <w:rFonts w:ascii="Garamond" w:hAnsi="Garamond"/>
        </w:rPr>
        <w:t>, although smaller in magnitude compared to the tariff pause announcement. The relatively lower standard deviations across the event window suggest more stable and homogeneous market reactions among ASEAN countries. In addition, the narrower range between minimum and maximum values indicates limited volatility, implying that investors largely perceived the tariff adjustment as neutral to mildly positive information that was absorbed without significant market disruption.</w:t>
      </w:r>
    </w:p>
    <w:p w14:paraId="13CDA2DD" w14:textId="2D2B0525" w:rsidR="00CA5329" w:rsidRDefault="00CA5329" w:rsidP="00AA552B">
      <w:pPr>
        <w:ind w:firstLine="851"/>
        <w:jc w:val="both"/>
        <w:rPr>
          <w:rFonts w:ascii="Garamond" w:hAnsi="Garamond"/>
        </w:rPr>
      </w:pPr>
      <w:r w:rsidRPr="00CA5329">
        <w:rPr>
          <w:rFonts w:ascii="Garamond" w:hAnsi="Garamond"/>
        </w:rPr>
        <w:t xml:space="preserve">Prior to conducting parametric hypothesis testing, a normality test was performed to examine whether the abnormal return data were normally distributed. </w:t>
      </w:r>
      <w:r w:rsidR="00330527">
        <w:rPr>
          <w:rFonts w:ascii="Garamond" w:hAnsi="Garamond"/>
        </w:rPr>
        <w:t xml:space="preserve">Using </w:t>
      </w:r>
      <w:r w:rsidR="00330527" w:rsidRPr="00330527">
        <w:rPr>
          <w:color w:val="000000"/>
        </w:rPr>
        <w:t xml:space="preserve">one-sample </w:t>
      </w:r>
      <w:proofErr w:type="spellStart"/>
      <w:r w:rsidR="00330527" w:rsidRPr="00330527">
        <w:rPr>
          <w:color w:val="000000"/>
        </w:rPr>
        <w:t>Kolmogrov</w:t>
      </w:r>
      <w:proofErr w:type="spellEnd"/>
      <w:r w:rsidR="00330527" w:rsidRPr="00330527">
        <w:rPr>
          <w:color w:val="000000"/>
        </w:rPr>
        <w:t xml:space="preserve"> Smirnov</w:t>
      </w:r>
      <w:r w:rsidR="00330527" w:rsidRPr="00CA5329">
        <w:rPr>
          <w:rFonts w:ascii="Garamond" w:hAnsi="Garamond"/>
        </w:rPr>
        <w:t xml:space="preserve"> </w:t>
      </w:r>
      <w:r w:rsidR="00330527">
        <w:rPr>
          <w:rFonts w:ascii="Garamond" w:hAnsi="Garamond"/>
        </w:rPr>
        <w:t>test, t</w:t>
      </w:r>
      <w:r w:rsidRPr="00CA5329">
        <w:rPr>
          <w:rFonts w:ascii="Garamond" w:hAnsi="Garamond"/>
        </w:rPr>
        <w:t>he normality assumption is required to determine the appropriateness of using parametric statistical tests in the event study analysis.</w:t>
      </w:r>
    </w:p>
    <w:p w14:paraId="0A3C2B76" w14:textId="77777777" w:rsidR="00AA552B" w:rsidRPr="00361EEF" w:rsidRDefault="00AA552B" w:rsidP="00AA552B">
      <w:pPr>
        <w:jc w:val="both"/>
        <w:rPr>
          <w:rFonts w:ascii="Garamond" w:hAnsi="Garamond"/>
          <w:i/>
          <w:iCs/>
        </w:rPr>
      </w:pPr>
    </w:p>
    <w:p w14:paraId="2169896E" w14:textId="0C484E45" w:rsidR="00AA552B" w:rsidRPr="00492D4C" w:rsidRDefault="00AA552B" w:rsidP="00AA552B">
      <w:pPr>
        <w:spacing w:after="160"/>
        <w:contextualSpacing/>
        <w:jc w:val="center"/>
        <w:rPr>
          <w:rFonts w:ascii="Garamond" w:hAnsi="Garamond"/>
          <w:b/>
          <w:bCs/>
        </w:rPr>
      </w:pPr>
      <w:r w:rsidRPr="00492D4C">
        <w:rPr>
          <w:rFonts w:ascii="Garamond" w:hAnsi="Garamond"/>
          <w:b/>
          <w:bCs/>
        </w:rPr>
        <w:t xml:space="preserve">Table </w:t>
      </w:r>
      <w:r w:rsidR="00247575">
        <w:rPr>
          <w:rFonts w:ascii="Garamond" w:hAnsi="Garamond"/>
          <w:b/>
          <w:bCs/>
        </w:rPr>
        <w:t>VI</w:t>
      </w:r>
      <w:r w:rsidRPr="00492D4C">
        <w:rPr>
          <w:rFonts w:ascii="Garamond" w:hAnsi="Garamond"/>
          <w:b/>
          <w:bCs/>
        </w:rPr>
        <w:t>.</w:t>
      </w:r>
      <w:r>
        <w:rPr>
          <w:rFonts w:ascii="Garamond" w:hAnsi="Garamond"/>
          <w:b/>
          <w:bCs/>
        </w:rPr>
        <w:t xml:space="preserve"> </w:t>
      </w:r>
      <w:r w:rsidR="00D4015C" w:rsidRPr="00D4015C">
        <w:rPr>
          <w:rFonts w:ascii="Garamond" w:hAnsi="Garamond"/>
          <w:b/>
          <w:bCs/>
        </w:rPr>
        <w:t>Normality Test Event 1 (Tariff Announcement)</w:t>
      </w:r>
    </w:p>
    <w:p w14:paraId="68CA16FA" w14:textId="77777777" w:rsidR="00AA552B" w:rsidRDefault="00AA552B" w:rsidP="00AA552B">
      <w:pPr>
        <w:spacing w:after="160"/>
        <w:contextualSpacing/>
        <w:rPr>
          <w:rFonts w:ascii="Garamond" w:hAnsi="Garamond"/>
          <w:b/>
          <w:bCs/>
        </w:rPr>
      </w:pPr>
    </w:p>
    <w:tbl>
      <w:tblPr>
        <w:tblStyle w:val="PlainTable1"/>
        <w:tblW w:w="0" w:type="auto"/>
        <w:jc w:val="center"/>
        <w:tblLook w:val="04A0" w:firstRow="1" w:lastRow="0" w:firstColumn="1" w:lastColumn="0" w:noHBand="0" w:noVBand="1"/>
      </w:tblPr>
      <w:tblGrid>
        <w:gridCol w:w="1054"/>
        <w:gridCol w:w="387"/>
        <w:gridCol w:w="891"/>
        <w:gridCol w:w="635"/>
      </w:tblGrid>
      <w:tr w:rsidR="00330527" w:rsidRPr="0023490B" w14:paraId="1B31451C" w14:textId="77777777" w:rsidTr="006A44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C95EEB" w14:textId="300DADEF" w:rsidR="00330527" w:rsidRPr="0023490B" w:rsidRDefault="00DE757B" w:rsidP="006A44E8">
            <w:pPr>
              <w:spacing w:after="160"/>
              <w:contextualSpacing/>
              <w:jc w:val="both"/>
              <w:rPr>
                <w:rFonts w:ascii="Garamond" w:hAnsi="Garamond"/>
                <w:sz w:val="20"/>
                <w:szCs w:val="20"/>
              </w:rPr>
            </w:pPr>
            <w:r>
              <w:rPr>
                <w:rFonts w:ascii="Garamond" w:hAnsi="Garamond"/>
                <w:sz w:val="20"/>
                <w:szCs w:val="20"/>
              </w:rPr>
              <w:t>Day</w:t>
            </w:r>
          </w:p>
        </w:tc>
        <w:tc>
          <w:tcPr>
            <w:tcW w:w="0" w:type="auto"/>
            <w:hideMark/>
          </w:tcPr>
          <w:p w14:paraId="684B339D" w14:textId="6FEDDA99" w:rsidR="00330527" w:rsidRPr="0023490B" w:rsidRDefault="00DE757B"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proofErr w:type="spellStart"/>
            <w:r>
              <w:rPr>
                <w:rFonts w:ascii="Garamond" w:hAnsi="Garamond"/>
                <w:sz w:val="20"/>
                <w:szCs w:val="20"/>
              </w:rPr>
              <w:t>d</w:t>
            </w:r>
            <w:r w:rsidR="00330527">
              <w:rPr>
                <w:rFonts w:ascii="Garamond" w:hAnsi="Garamond"/>
                <w:sz w:val="20"/>
                <w:szCs w:val="20"/>
              </w:rPr>
              <w:t>f</w:t>
            </w:r>
            <w:proofErr w:type="spellEnd"/>
          </w:p>
        </w:tc>
        <w:tc>
          <w:tcPr>
            <w:tcW w:w="0" w:type="auto"/>
            <w:hideMark/>
          </w:tcPr>
          <w:p w14:paraId="2807EA80" w14:textId="1D0F46AA" w:rsidR="00330527" w:rsidRPr="0023490B" w:rsidRDefault="00330527"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Statistic</w:t>
            </w:r>
          </w:p>
        </w:tc>
        <w:tc>
          <w:tcPr>
            <w:tcW w:w="0" w:type="auto"/>
          </w:tcPr>
          <w:p w14:paraId="52BBE985" w14:textId="5B59A2F3" w:rsidR="00330527" w:rsidRPr="0023490B" w:rsidRDefault="00330527"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Sig.</w:t>
            </w:r>
          </w:p>
        </w:tc>
      </w:tr>
      <w:tr w:rsidR="00330527" w:rsidRPr="0023490B" w14:paraId="3B0A5C20"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34F287" w14:textId="77777777" w:rsidR="00330527" w:rsidRPr="0023490B" w:rsidRDefault="00330527" w:rsidP="00330527">
            <w:pPr>
              <w:spacing w:after="160"/>
              <w:contextualSpacing/>
              <w:jc w:val="both"/>
              <w:rPr>
                <w:rFonts w:ascii="Garamond" w:hAnsi="Garamond"/>
                <w:sz w:val="20"/>
                <w:szCs w:val="20"/>
              </w:rPr>
            </w:pPr>
            <w:r w:rsidRPr="0023490B">
              <w:rPr>
                <w:rFonts w:ascii="Garamond" w:hAnsi="Garamond"/>
                <w:sz w:val="20"/>
                <w:szCs w:val="20"/>
              </w:rPr>
              <w:t>t0</w:t>
            </w:r>
          </w:p>
        </w:tc>
        <w:tc>
          <w:tcPr>
            <w:tcW w:w="0" w:type="auto"/>
            <w:hideMark/>
          </w:tcPr>
          <w:p w14:paraId="2648F717" w14:textId="54C9D11F" w:rsidR="00330527" w:rsidRPr="0023490B"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5</w:t>
            </w:r>
          </w:p>
        </w:tc>
        <w:tc>
          <w:tcPr>
            <w:tcW w:w="0" w:type="auto"/>
            <w:hideMark/>
          </w:tcPr>
          <w:p w14:paraId="583C0339" w14:textId="545CC116"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0,369</w:t>
            </w:r>
          </w:p>
        </w:tc>
        <w:tc>
          <w:tcPr>
            <w:tcW w:w="0" w:type="auto"/>
          </w:tcPr>
          <w:p w14:paraId="115481B1" w14:textId="0FF5DFEC"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0,025</w:t>
            </w:r>
          </w:p>
        </w:tc>
      </w:tr>
      <w:tr w:rsidR="00330527" w:rsidRPr="0023490B" w14:paraId="580B5B63"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7CFDD6" w14:textId="77777777" w:rsidR="00330527" w:rsidRPr="0023490B" w:rsidRDefault="00330527" w:rsidP="00330527">
            <w:pPr>
              <w:spacing w:after="160"/>
              <w:contextualSpacing/>
              <w:jc w:val="both"/>
              <w:rPr>
                <w:rFonts w:ascii="Garamond" w:hAnsi="Garamond"/>
                <w:sz w:val="20"/>
                <w:szCs w:val="20"/>
              </w:rPr>
            </w:pPr>
            <w:r w:rsidRPr="0023490B">
              <w:rPr>
                <w:rFonts w:ascii="Garamond" w:hAnsi="Garamond"/>
                <w:sz w:val="20"/>
                <w:szCs w:val="20"/>
              </w:rPr>
              <w:t>t+1</w:t>
            </w:r>
          </w:p>
        </w:tc>
        <w:tc>
          <w:tcPr>
            <w:tcW w:w="0" w:type="auto"/>
            <w:hideMark/>
          </w:tcPr>
          <w:p w14:paraId="3122B5C9" w14:textId="0AC5AA96" w:rsidR="00330527" w:rsidRPr="0023490B" w:rsidRDefault="00330527" w:rsidP="00330527">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5</w:t>
            </w:r>
          </w:p>
        </w:tc>
        <w:tc>
          <w:tcPr>
            <w:tcW w:w="0" w:type="auto"/>
            <w:hideMark/>
          </w:tcPr>
          <w:p w14:paraId="1BA4BEF5" w14:textId="0E065DF7" w:rsidR="00330527" w:rsidRPr="00330527" w:rsidRDefault="00330527" w:rsidP="00330527">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330527">
              <w:rPr>
                <w:rFonts w:ascii="Garamond" w:hAnsi="Garamond"/>
                <w:sz w:val="20"/>
                <w:szCs w:val="20"/>
              </w:rPr>
              <w:t>0,248</w:t>
            </w:r>
          </w:p>
        </w:tc>
        <w:tc>
          <w:tcPr>
            <w:tcW w:w="0" w:type="auto"/>
          </w:tcPr>
          <w:p w14:paraId="1A3E75CD" w14:textId="0B617D12" w:rsidR="00330527" w:rsidRPr="00330527" w:rsidRDefault="00330527" w:rsidP="00330527">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330527">
              <w:rPr>
                <w:rFonts w:ascii="Garamond" w:hAnsi="Garamond"/>
                <w:sz w:val="20"/>
                <w:szCs w:val="20"/>
              </w:rPr>
              <w:t>0,200</w:t>
            </w:r>
          </w:p>
        </w:tc>
      </w:tr>
      <w:tr w:rsidR="00330527" w:rsidRPr="0023490B" w14:paraId="04E07E51"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6BDD91B" w14:textId="77777777" w:rsidR="00330527" w:rsidRPr="0023490B" w:rsidRDefault="00330527" w:rsidP="00330527">
            <w:pPr>
              <w:spacing w:after="160"/>
              <w:contextualSpacing/>
              <w:jc w:val="both"/>
              <w:rPr>
                <w:rFonts w:ascii="Garamond" w:hAnsi="Garamond"/>
                <w:sz w:val="20"/>
                <w:szCs w:val="20"/>
              </w:rPr>
            </w:pPr>
            <w:r w:rsidRPr="0023490B">
              <w:rPr>
                <w:rFonts w:ascii="Garamond" w:hAnsi="Garamond"/>
                <w:sz w:val="20"/>
                <w:szCs w:val="20"/>
              </w:rPr>
              <w:t>t+2</w:t>
            </w:r>
          </w:p>
        </w:tc>
        <w:tc>
          <w:tcPr>
            <w:tcW w:w="0" w:type="auto"/>
          </w:tcPr>
          <w:p w14:paraId="7C3EA91C" w14:textId="447460E6" w:rsidR="00330527" w:rsidRPr="0023490B"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5</w:t>
            </w:r>
          </w:p>
        </w:tc>
        <w:tc>
          <w:tcPr>
            <w:tcW w:w="0" w:type="auto"/>
          </w:tcPr>
          <w:p w14:paraId="0AEAA23E" w14:textId="76D0B918"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0,323</w:t>
            </w:r>
          </w:p>
        </w:tc>
        <w:tc>
          <w:tcPr>
            <w:tcW w:w="0" w:type="auto"/>
          </w:tcPr>
          <w:p w14:paraId="665EDCCB" w14:textId="652797EA"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0,095</w:t>
            </w:r>
          </w:p>
        </w:tc>
      </w:tr>
      <w:tr w:rsidR="00330527" w:rsidRPr="0023490B" w14:paraId="0E8E85FA"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35AA705" w14:textId="77777777" w:rsidR="00330527" w:rsidRPr="0023490B" w:rsidRDefault="00330527" w:rsidP="00330527">
            <w:pPr>
              <w:spacing w:after="160"/>
              <w:contextualSpacing/>
              <w:jc w:val="both"/>
              <w:rPr>
                <w:rFonts w:ascii="Garamond" w:hAnsi="Garamond"/>
                <w:sz w:val="20"/>
                <w:szCs w:val="20"/>
              </w:rPr>
            </w:pPr>
            <w:r w:rsidRPr="0023490B">
              <w:rPr>
                <w:rFonts w:ascii="Garamond" w:hAnsi="Garamond"/>
                <w:sz w:val="20"/>
                <w:szCs w:val="20"/>
              </w:rPr>
              <w:t>t+3</w:t>
            </w:r>
          </w:p>
        </w:tc>
        <w:tc>
          <w:tcPr>
            <w:tcW w:w="0" w:type="auto"/>
          </w:tcPr>
          <w:p w14:paraId="37C62A22" w14:textId="4DE7A677" w:rsidR="00330527" w:rsidRPr="0023490B" w:rsidRDefault="00330527" w:rsidP="00330527">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5</w:t>
            </w:r>
          </w:p>
        </w:tc>
        <w:tc>
          <w:tcPr>
            <w:tcW w:w="0" w:type="auto"/>
          </w:tcPr>
          <w:p w14:paraId="484B207C" w14:textId="4F3AF41F" w:rsidR="00330527" w:rsidRPr="00330527" w:rsidRDefault="00330527" w:rsidP="00330527">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330527">
              <w:rPr>
                <w:rFonts w:ascii="Garamond" w:hAnsi="Garamond"/>
                <w:sz w:val="20"/>
                <w:szCs w:val="20"/>
              </w:rPr>
              <w:t>0,164</w:t>
            </w:r>
          </w:p>
        </w:tc>
        <w:tc>
          <w:tcPr>
            <w:tcW w:w="0" w:type="auto"/>
          </w:tcPr>
          <w:p w14:paraId="052A0F7D" w14:textId="6CAA7069" w:rsidR="00330527" w:rsidRPr="00330527" w:rsidRDefault="00330527" w:rsidP="00330527">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330527">
              <w:rPr>
                <w:rFonts w:ascii="Garamond" w:hAnsi="Garamond"/>
                <w:sz w:val="20"/>
                <w:szCs w:val="20"/>
              </w:rPr>
              <w:t>0,200</w:t>
            </w:r>
          </w:p>
        </w:tc>
      </w:tr>
      <w:tr w:rsidR="00330527" w:rsidRPr="0023490B" w14:paraId="56ABF42F"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CB68869" w14:textId="77777777" w:rsidR="00330527" w:rsidRPr="0023490B" w:rsidRDefault="00330527" w:rsidP="00330527">
            <w:pPr>
              <w:spacing w:after="160"/>
              <w:contextualSpacing/>
              <w:jc w:val="both"/>
              <w:rPr>
                <w:rFonts w:ascii="Garamond" w:hAnsi="Garamond"/>
                <w:sz w:val="20"/>
                <w:szCs w:val="20"/>
              </w:rPr>
            </w:pPr>
            <w:r w:rsidRPr="0023490B">
              <w:rPr>
                <w:rFonts w:ascii="Garamond" w:hAnsi="Garamond"/>
                <w:sz w:val="20"/>
                <w:szCs w:val="20"/>
              </w:rPr>
              <w:t>CAR</w:t>
            </w:r>
            <w:r>
              <w:rPr>
                <w:rFonts w:ascii="Garamond" w:hAnsi="Garamond"/>
                <w:sz w:val="20"/>
                <w:szCs w:val="20"/>
              </w:rPr>
              <w:t xml:space="preserve"> </w:t>
            </w:r>
            <w:r w:rsidRPr="0023490B">
              <w:rPr>
                <w:rFonts w:ascii="Garamond" w:hAnsi="Garamond"/>
                <w:sz w:val="20"/>
                <w:szCs w:val="20"/>
              </w:rPr>
              <w:t>(0,3)</w:t>
            </w:r>
          </w:p>
        </w:tc>
        <w:tc>
          <w:tcPr>
            <w:tcW w:w="0" w:type="auto"/>
          </w:tcPr>
          <w:p w14:paraId="519BEDA6" w14:textId="0B9344C0" w:rsidR="00330527" w:rsidRPr="0023490B"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5</w:t>
            </w:r>
          </w:p>
        </w:tc>
        <w:tc>
          <w:tcPr>
            <w:tcW w:w="0" w:type="auto"/>
          </w:tcPr>
          <w:p w14:paraId="65F8DA69" w14:textId="4FC4D8DA"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0,264</w:t>
            </w:r>
          </w:p>
        </w:tc>
        <w:tc>
          <w:tcPr>
            <w:tcW w:w="0" w:type="auto"/>
          </w:tcPr>
          <w:p w14:paraId="16DFD792" w14:textId="6A82174A"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0,200</w:t>
            </w:r>
          </w:p>
        </w:tc>
      </w:tr>
    </w:tbl>
    <w:p w14:paraId="6CB61826" w14:textId="77777777" w:rsidR="00330527" w:rsidRPr="00492D4C" w:rsidRDefault="00330527" w:rsidP="00AA552B">
      <w:pPr>
        <w:spacing w:after="160"/>
        <w:contextualSpacing/>
        <w:rPr>
          <w:rFonts w:ascii="Garamond" w:hAnsi="Garamond"/>
          <w:b/>
          <w:bCs/>
        </w:rPr>
      </w:pPr>
    </w:p>
    <w:p w14:paraId="7A5A24F4" w14:textId="77777777" w:rsidR="00AA552B" w:rsidRDefault="00AA552B" w:rsidP="00AA552B">
      <w:pPr>
        <w:jc w:val="both"/>
        <w:rPr>
          <w:rFonts w:ascii="Garamond" w:hAnsi="Garamond"/>
          <w:i/>
          <w:iCs/>
        </w:rPr>
      </w:pPr>
      <w:r w:rsidRPr="00492D4C">
        <w:rPr>
          <w:rFonts w:ascii="Garamond" w:hAnsi="Garamond"/>
          <w:b/>
          <w:bCs/>
          <w:i/>
          <w:iCs/>
        </w:rPr>
        <w:t>Source:</w:t>
      </w:r>
      <w:r w:rsidRPr="00492D4C">
        <w:rPr>
          <w:rFonts w:ascii="Garamond" w:hAnsi="Garamond"/>
          <w:i/>
          <w:iCs/>
        </w:rPr>
        <w:t xml:space="preserve"> </w:t>
      </w:r>
      <w:r w:rsidRPr="003F3A81">
        <w:rPr>
          <w:rFonts w:ascii="Garamond" w:hAnsi="Garamond"/>
          <w:i/>
          <w:iCs/>
        </w:rPr>
        <w:t>Processed by the author</w:t>
      </w:r>
      <w:r>
        <w:rPr>
          <w:rFonts w:ascii="Garamond" w:hAnsi="Garamond"/>
          <w:i/>
          <w:iCs/>
        </w:rPr>
        <w:t xml:space="preserve"> (2025)</w:t>
      </w:r>
    </w:p>
    <w:p w14:paraId="4C3929E0" w14:textId="7D4C8F89" w:rsidR="00330527" w:rsidRDefault="00330527" w:rsidP="00AA552B">
      <w:pPr>
        <w:ind w:firstLine="851"/>
        <w:jc w:val="both"/>
        <w:rPr>
          <w:rFonts w:ascii="Garamond" w:hAnsi="Garamond"/>
        </w:rPr>
      </w:pPr>
      <w:r w:rsidRPr="00330527">
        <w:rPr>
          <w:rFonts w:ascii="Garamond" w:hAnsi="Garamond"/>
        </w:rPr>
        <w:t xml:space="preserve">The normality test results for </w:t>
      </w:r>
      <w:r>
        <w:rPr>
          <w:rFonts w:ascii="Garamond" w:hAnsi="Garamond"/>
        </w:rPr>
        <w:t>e</w:t>
      </w:r>
      <w:r w:rsidRPr="00330527">
        <w:rPr>
          <w:rFonts w:ascii="Garamond" w:hAnsi="Garamond"/>
        </w:rPr>
        <w:t>vent 1 indicate that only abnormal returns at t0 are not normally distributed, with a significance value of 0.025 (&lt; 0.05). Meanwhile, abnormal returns at t+1, t+2, t+3, and CAR (0,3) are normally distributed, as indicated by significance values above 0.05.</w:t>
      </w:r>
    </w:p>
    <w:p w14:paraId="4C8C72F7" w14:textId="77777777" w:rsidR="00AA552B" w:rsidRPr="00361EEF" w:rsidRDefault="00AA552B" w:rsidP="00AA552B">
      <w:pPr>
        <w:jc w:val="both"/>
        <w:rPr>
          <w:rFonts w:ascii="Garamond" w:hAnsi="Garamond"/>
          <w:i/>
          <w:iCs/>
        </w:rPr>
      </w:pPr>
    </w:p>
    <w:p w14:paraId="6F48AA4F" w14:textId="578A6BD8" w:rsidR="00AA552B" w:rsidRPr="00492D4C" w:rsidRDefault="00AA552B" w:rsidP="00AA552B">
      <w:pPr>
        <w:spacing w:after="160"/>
        <w:contextualSpacing/>
        <w:jc w:val="center"/>
        <w:rPr>
          <w:rFonts w:ascii="Garamond" w:hAnsi="Garamond"/>
          <w:b/>
          <w:bCs/>
        </w:rPr>
      </w:pPr>
      <w:r w:rsidRPr="00492D4C">
        <w:rPr>
          <w:rFonts w:ascii="Garamond" w:hAnsi="Garamond"/>
          <w:b/>
          <w:bCs/>
        </w:rPr>
        <w:t xml:space="preserve">Table </w:t>
      </w:r>
      <w:r w:rsidR="00247575">
        <w:rPr>
          <w:rFonts w:ascii="Garamond" w:hAnsi="Garamond"/>
          <w:b/>
          <w:bCs/>
        </w:rPr>
        <w:t>VII</w:t>
      </w:r>
      <w:r w:rsidRPr="00492D4C">
        <w:rPr>
          <w:rFonts w:ascii="Garamond" w:hAnsi="Garamond"/>
          <w:b/>
          <w:bCs/>
        </w:rPr>
        <w:t>.</w:t>
      </w:r>
      <w:r>
        <w:rPr>
          <w:rFonts w:ascii="Garamond" w:hAnsi="Garamond"/>
          <w:b/>
          <w:bCs/>
        </w:rPr>
        <w:t xml:space="preserve"> </w:t>
      </w:r>
      <w:r w:rsidR="001D0296" w:rsidRPr="001D0296">
        <w:rPr>
          <w:rFonts w:ascii="Garamond" w:hAnsi="Garamond"/>
          <w:b/>
          <w:bCs/>
        </w:rPr>
        <w:t>Normality Test Event 2 (Tariff Pause Announcement)</w:t>
      </w:r>
    </w:p>
    <w:p w14:paraId="51BA9AB3" w14:textId="77777777" w:rsidR="00AA552B" w:rsidRDefault="00AA552B" w:rsidP="00AA552B">
      <w:pPr>
        <w:spacing w:after="160"/>
        <w:contextualSpacing/>
        <w:rPr>
          <w:rFonts w:ascii="Garamond" w:hAnsi="Garamond"/>
          <w:b/>
          <w:bCs/>
        </w:rPr>
      </w:pPr>
    </w:p>
    <w:tbl>
      <w:tblPr>
        <w:tblStyle w:val="PlainTable1"/>
        <w:tblW w:w="0" w:type="auto"/>
        <w:jc w:val="center"/>
        <w:tblLook w:val="04A0" w:firstRow="1" w:lastRow="0" w:firstColumn="1" w:lastColumn="0" w:noHBand="0" w:noVBand="1"/>
      </w:tblPr>
      <w:tblGrid>
        <w:gridCol w:w="1054"/>
        <w:gridCol w:w="387"/>
        <w:gridCol w:w="891"/>
        <w:gridCol w:w="635"/>
      </w:tblGrid>
      <w:tr w:rsidR="00330527" w:rsidRPr="00330527" w14:paraId="123640F3" w14:textId="77777777" w:rsidTr="006A44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FF21A5" w14:textId="318D5F18" w:rsidR="00330527" w:rsidRPr="00330527" w:rsidRDefault="00DE757B" w:rsidP="006A44E8">
            <w:pPr>
              <w:spacing w:after="160"/>
              <w:contextualSpacing/>
              <w:jc w:val="both"/>
              <w:rPr>
                <w:rFonts w:ascii="Garamond" w:hAnsi="Garamond"/>
                <w:sz w:val="20"/>
                <w:szCs w:val="20"/>
              </w:rPr>
            </w:pPr>
            <w:r>
              <w:rPr>
                <w:rFonts w:ascii="Garamond" w:hAnsi="Garamond"/>
                <w:sz w:val="20"/>
                <w:szCs w:val="20"/>
              </w:rPr>
              <w:t>Day</w:t>
            </w:r>
          </w:p>
        </w:tc>
        <w:tc>
          <w:tcPr>
            <w:tcW w:w="0" w:type="auto"/>
            <w:hideMark/>
          </w:tcPr>
          <w:p w14:paraId="25BA7F8D" w14:textId="77777777" w:rsidR="00330527" w:rsidRPr="00330527" w:rsidRDefault="00330527"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proofErr w:type="spellStart"/>
            <w:r w:rsidRPr="00330527">
              <w:rPr>
                <w:rFonts w:ascii="Garamond" w:hAnsi="Garamond"/>
                <w:sz w:val="20"/>
                <w:szCs w:val="20"/>
              </w:rPr>
              <w:t>df</w:t>
            </w:r>
            <w:proofErr w:type="spellEnd"/>
          </w:p>
        </w:tc>
        <w:tc>
          <w:tcPr>
            <w:tcW w:w="0" w:type="auto"/>
            <w:hideMark/>
          </w:tcPr>
          <w:p w14:paraId="7EBBF812" w14:textId="77777777" w:rsidR="00330527" w:rsidRPr="00330527" w:rsidRDefault="00330527"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330527">
              <w:rPr>
                <w:rFonts w:ascii="Garamond" w:hAnsi="Garamond"/>
                <w:sz w:val="20"/>
                <w:szCs w:val="20"/>
              </w:rPr>
              <w:t>Statistic</w:t>
            </w:r>
          </w:p>
        </w:tc>
        <w:tc>
          <w:tcPr>
            <w:tcW w:w="0" w:type="auto"/>
          </w:tcPr>
          <w:p w14:paraId="0C28BF0E" w14:textId="77777777" w:rsidR="00330527" w:rsidRPr="00330527" w:rsidRDefault="00330527"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330527">
              <w:rPr>
                <w:rFonts w:ascii="Garamond" w:hAnsi="Garamond"/>
                <w:sz w:val="20"/>
                <w:szCs w:val="20"/>
              </w:rPr>
              <w:t>Sig.</w:t>
            </w:r>
          </w:p>
        </w:tc>
      </w:tr>
      <w:tr w:rsidR="00330527" w:rsidRPr="00330527" w14:paraId="05005FB1"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665AFB" w14:textId="77777777" w:rsidR="00330527" w:rsidRPr="00330527" w:rsidRDefault="00330527" w:rsidP="00330527">
            <w:pPr>
              <w:spacing w:after="160"/>
              <w:contextualSpacing/>
              <w:jc w:val="both"/>
              <w:rPr>
                <w:rFonts w:ascii="Garamond" w:hAnsi="Garamond"/>
                <w:sz w:val="20"/>
                <w:szCs w:val="20"/>
              </w:rPr>
            </w:pPr>
            <w:r w:rsidRPr="00330527">
              <w:rPr>
                <w:rFonts w:ascii="Garamond" w:hAnsi="Garamond"/>
                <w:sz w:val="20"/>
                <w:szCs w:val="20"/>
              </w:rPr>
              <w:t>t0</w:t>
            </w:r>
          </w:p>
        </w:tc>
        <w:tc>
          <w:tcPr>
            <w:tcW w:w="0" w:type="auto"/>
            <w:hideMark/>
          </w:tcPr>
          <w:p w14:paraId="5FBD2B92" w14:textId="3EE97878"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6</w:t>
            </w:r>
          </w:p>
        </w:tc>
        <w:tc>
          <w:tcPr>
            <w:tcW w:w="0" w:type="auto"/>
            <w:hideMark/>
          </w:tcPr>
          <w:p w14:paraId="773D5874" w14:textId="416701B1"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0,298</w:t>
            </w:r>
          </w:p>
        </w:tc>
        <w:tc>
          <w:tcPr>
            <w:tcW w:w="0" w:type="auto"/>
          </w:tcPr>
          <w:p w14:paraId="077740DF" w14:textId="1ECDCBD9"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0,104</w:t>
            </w:r>
          </w:p>
        </w:tc>
      </w:tr>
      <w:tr w:rsidR="00330527" w:rsidRPr="00330527" w14:paraId="2EB7D31F"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63B102" w14:textId="77777777" w:rsidR="00330527" w:rsidRPr="00330527" w:rsidRDefault="00330527" w:rsidP="00330527">
            <w:pPr>
              <w:spacing w:after="160"/>
              <w:contextualSpacing/>
              <w:jc w:val="both"/>
              <w:rPr>
                <w:rFonts w:ascii="Garamond" w:hAnsi="Garamond"/>
                <w:sz w:val="20"/>
                <w:szCs w:val="20"/>
              </w:rPr>
            </w:pPr>
            <w:r w:rsidRPr="00330527">
              <w:rPr>
                <w:rFonts w:ascii="Garamond" w:hAnsi="Garamond"/>
                <w:sz w:val="20"/>
                <w:szCs w:val="20"/>
              </w:rPr>
              <w:t>t+1</w:t>
            </w:r>
          </w:p>
        </w:tc>
        <w:tc>
          <w:tcPr>
            <w:tcW w:w="0" w:type="auto"/>
            <w:hideMark/>
          </w:tcPr>
          <w:p w14:paraId="5D8AA444" w14:textId="53C1EDE7" w:rsidR="00330527" w:rsidRPr="00330527" w:rsidRDefault="00330527" w:rsidP="00330527">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330527">
              <w:rPr>
                <w:rFonts w:ascii="Garamond" w:hAnsi="Garamond"/>
                <w:sz w:val="20"/>
                <w:szCs w:val="20"/>
              </w:rPr>
              <w:t>6</w:t>
            </w:r>
          </w:p>
        </w:tc>
        <w:tc>
          <w:tcPr>
            <w:tcW w:w="0" w:type="auto"/>
            <w:hideMark/>
          </w:tcPr>
          <w:p w14:paraId="2ACCBF5D" w14:textId="738DB325" w:rsidR="00330527" w:rsidRPr="00330527" w:rsidRDefault="00330527" w:rsidP="00330527">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330527">
              <w:rPr>
                <w:rFonts w:ascii="Garamond" w:hAnsi="Garamond"/>
                <w:sz w:val="20"/>
                <w:szCs w:val="20"/>
              </w:rPr>
              <w:t>0,357</w:t>
            </w:r>
          </w:p>
        </w:tc>
        <w:tc>
          <w:tcPr>
            <w:tcW w:w="0" w:type="auto"/>
          </w:tcPr>
          <w:p w14:paraId="0BD61387" w14:textId="47E139FD" w:rsidR="00330527" w:rsidRPr="00330527" w:rsidRDefault="00330527" w:rsidP="00330527">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330527">
              <w:rPr>
                <w:rFonts w:ascii="Garamond" w:hAnsi="Garamond"/>
                <w:sz w:val="20"/>
                <w:szCs w:val="20"/>
              </w:rPr>
              <w:t>0,016</w:t>
            </w:r>
          </w:p>
        </w:tc>
      </w:tr>
      <w:tr w:rsidR="00330527" w:rsidRPr="00330527" w14:paraId="76F7F020"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D2B2520" w14:textId="77777777" w:rsidR="00330527" w:rsidRPr="00330527" w:rsidRDefault="00330527" w:rsidP="00330527">
            <w:pPr>
              <w:spacing w:after="160"/>
              <w:contextualSpacing/>
              <w:jc w:val="both"/>
              <w:rPr>
                <w:rFonts w:ascii="Garamond" w:hAnsi="Garamond"/>
                <w:sz w:val="20"/>
                <w:szCs w:val="20"/>
              </w:rPr>
            </w:pPr>
            <w:r w:rsidRPr="00330527">
              <w:rPr>
                <w:rFonts w:ascii="Garamond" w:hAnsi="Garamond"/>
                <w:sz w:val="20"/>
                <w:szCs w:val="20"/>
              </w:rPr>
              <w:t>t+2</w:t>
            </w:r>
          </w:p>
        </w:tc>
        <w:tc>
          <w:tcPr>
            <w:tcW w:w="0" w:type="auto"/>
          </w:tcPr>
          <w:p w14:paraId="5B3C26CC" w14:textId="47CFE559"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6</w:t>
            </w:r>
          </w:p>
        </w:tc>
        <w:tc>
          <w:tcPr>
            <w:tcW w:w="0" w:type="auto"/>
          </w:tcPr>
          <w:p w14:paraId="2DA948B6" w14:textId="16820EF7"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0,213</w:t>
            </w:r>
          </w:p>
        </w:tc>
        <w:tc>
          <w:tcPr>
            <w:tcW w:w="0" w:type="auto"/>
          </w:tcPr>
          <w:p w14:paraId="52573779" w14:textId="413E0907"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0,200</w:t>
            </w:r>
          </w:p>
        </w:tc>
      </w:tr>
      <w:tr w:rsidR="00330527" w:rsidRPr="00330527" w14:paraId="7C904D64"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C3ED4B" w14:textId="77777777" w:rsidR="00330527" w:rsidRPr="00330527" w:rsidRDefault="00330527" w:rsidP="00330527">
            <w:pPr>
              <w:spacing w:after="160"/>
              <w:contextualSpacing/>
              <w:jc w:val="both"/>
              <w:rPr>
                <w:rFonts w:ascii="Garamond" w:hAnsi="Garamond"/>
                <w:sz w:val="20"/>
                <w:szCs w:val="20"/>
              </w:rPr>
            </w:pPr>
            <w:r w:rsidRPr="00330527">
              <w:rPr>
                <w:rFonts w:ascii="Garamond" w:hAnsi="Garamond"/>
                <w:sz w:val="20"/>
                <w:szCs w:val="20"/>
              </w:rPr>
              <w:t>t+3</w:t>
            </w:r>
          </w:p>
        </w:tc>
        <w:tc>
          <w:tcPr>
            <w:tcW w:w="0" w:type="auto"/>
          </w:tcPr>
          <w:p w14:paraId="17731EDB" w14:textId="4E7BAE0D" w:rsidR="00330527" w:rsidRPr="00330527" w:rsidRDefault="00330527" w:rsidP="00330527">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330527">
              <w:rPr>
                <w:rFonts w:ascii="Garamond" w:hAnsi="Garamond"/>
                <w:sz w:val="20"/>
                <w:szCs w:val="20"/>
              </w:rPr>
              <w:t>6</w:t>
            </w:r>
          </w:p>
        </w:tc>
        <w:tc>
          <w:tcPr>
            <w:tcW w:w="0" w:type="auto"/>
          </w:tcPr>
          <w:p w14:paraId="36736B69" w14:textId="031CB543" w:rsidR="00330527" w:rsidRPr="00330527" w:rsidRDefault="00330527" w:rsidP="00330527">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330527">
              <w:rPr>
                <w:rFonts w:ascii="Garamond" w:hAnsi="Garamond"/>
                <w:sz w:val="20"/>
                <w:szCs w:val="20"/>
              </w:rPr>
              <w:t>0,239</w:t>
            </w:r>
          </w:p>
        </w:tc>
        <w:tc>
          <w:tcPr>
            <w:tcW w:w="0" w:type="auto"/>
          </w:tcPr>
          <w:p w14:paraId="04EC694C" w14:textId="3E218F34" w:rsidR="00330527" w:rsidRPr="00330527" w:rsidRDefault="00330527" w:rsidP="00330527">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330527">
              <w:rPr>
                <w:rFonts w:ascii="Garamond" w:hAnsi="Garamond"/>
                <w:sz w:val="20"/>
                <w:szCs w:val="20"/>
              </w:rPr>
              <w:t>0,200</w:t>
            </w:r>
          </w:p>
        </w:tc>
      </w:tr>
      <w:tr w:rsidR="00330527" w:rsidRPr="00330527" w14:paraId="5F8A6D09"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6F5EBCA" w14:textId="77777777" w:rsidR="00330527" w:rsidRPr="00330527" w:rsidRDefault="00330527" w:rsidP="00330527">
            <w:pPr>
              <w:spacing w:after="160"/>
              <w:contextualSpacing/>
              <w:jc w:val="both"/>
              <w:rPr>
                <w:rFonts w:ascii="Garamond" w:hAnsi="Garamond"/>
                <w:sz w:val="20"/>
                <w:szCs w:val="20"/>
              </w:rPr>
            </w:pPr>
            <w:r w:rsidRPr="00330527">
              <w:rPr>
                <w:rFonts w:ascii="Garamond" w:hAnsi="Garamond"/>
                <w:sz w:val="20"/>
                <w:szCs w:val="20"/>
              </w:rPr>
              <w:t>CAR (0,3)</w:t>
            </w:r>
          </w:p>
        </w:tc>
        <w:tc>
          <w:tcPr>
            <w:tcW w:w="0" w:type="auto"/>
          </w:tcPr>
          <w:p w14:paraId="636384F7" w14:textId="6093148C"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6</w:t>
            </w:r>
          </w:p>
        </w:tc>
        <w:tc>
          <w:tcPr>
            <w:tcW w:w="0" w:type="auto"/>
          </w:tcPr>
          <w:p w14:paraId="7BF0D6BC" w14:textId="7FE75243"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0,243</w:t>
            </w:r>
          </w:p>
        </w:tc>
        <w:tc>
          <w:tcPr>
            <w:tcW w:w="0" w:type="auto"/>
          </w:tcPr>
          <w:p w14:paraId="616AF6C9" w14:textId="40D2FF48" w:rsidR="00330527" w:rsidRPr="00330527" w:rsidRDefault="00330527" w:rsidP="00330527">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330527">
              <w:rPr>
                <w:rFonts w:ascii="Garamond" w:hAnsi="Garamond"/>
                <w:sz w:val="20"/>
                <w:szCs w:val="20"/>
              </w:rPr>
              <w:t>0,200</w:t>
            </w:r>
          </w:p>
        </w:tc>
      </w:tr>
    </w:tbl>
    <w:p w14:paraId="5716AD31" w14:textId="77777777" w:rsidR="00330527" w:rsidRPr="00492D4C" w:rsidRDefault="00330527" w:rsidP="00AA552B">
      <w:pPr>
        <w:spacing w:after="160"/>
        <w:contextualSpacing/>
        <w:rPr>
          <w:rFonts w:ascii="Garamond" w:hAnsi="Garamond"/>
          <w:b/>
          <w:bCs/>
        </w:rPr>
      </w:pPr>
    </w:p>
    <w:p w14:paraId="13EF8CD1" w14:textId="77777777" w:rsidR="00AA552B" w:rsidRDefault="00AA552B" w:rsidP="00AA552B">
      <w:pPr>
        <w:jc w:val="both"/>
        <w:rPr>
          <w:rFonts w:ascii="Garamond" w:hAnsi="Garamond"/>
          <w:i/>
          <w:iCs/>
        </w:rPr>
      </w:pPr>
      <w:r w:rsidRPr="00492D4C">
        <w:rPr>
          <w:rFonts w:ascii="Garamond" w:hAnsi="Garamond"/>
          <w:b/>
          <w:bCs/>
          <w:i/>
          <w:iCs/>
        </w:rPr>
        <w:t>Source:</w:t>
      </w:r>
      <w:r w:rsidRPr="00492D4C">
        <w:rPr>
          <w:rFonts w:ascii="Garamond" w:hAnsi="Garamond"/>
          <w:i/>
          <w:iCs/>
        </w:rPr>
        <w:t xml:space="preserve"> </w:t>
      </w:r>
      <w:r w:rsidRPr="003F3A81">
        <w:rPr>
          <w:rFonts w:ascii="Garamond" w:hAnsi="Garamond"/>
          <w:i/>
          <w:iCs/>
        </w:rPr>
        <w:t>Processed by the author</w:t>
      </w:r>
      <w:r>
        <w:rPr>
          <w:rFonts w:ascii="Garamond" w:hAnsi="Garamond"/>
          <w:i/>
          <w:iCs/>
        </w:rPr>
        <w:t xml:space="preserve"> (2025)</w:t>
      </w:r>
    </w:p>
    <w:p w14:paraId="34C8E633" w14:textId="11FFBFA5" w:rsidR="00330527" w:rsidRDefault="00330527" w:rsidP="00AA552B">
      <w:pPr>
        <w:ind w:firstLine="851"/>
        <w:jc w:val="both"/>
        <w:rPr>
          <w:rFonts w:ascii="Garamond" w:hAnsi="Garamond"/>
        </w:rPr>
      </w:pPr>
      <w:r w:rsidRPr="00330527">
        <w:rPr>
          <w:rFonts w:ascii="Garamond" w:hAnsi="Garamond"/>
        </w:rPr>
        <w:t xml:space="preserve">The normality test results for </w:t>
      </w:r>
      <w:r w:rsidR="002B4B43">
        <w:rPr>
          <w:rFonts w:ascii="Garamond" w:hAnsi="Garamond"/>
        </w:rPr>
        <w:t>e</w:t>
      </w:r>
      <w:r w:rsidRPr="00330527">
        <w:rPr>
          <w:rFonts w:ascii="Garamond" w:hAnsi="Garamond"/>
        </w:rPr>
        <w:t>vent 2 show that only abnormal returns at t+1 are not normally distributed, with a significance value of 0.016 (&lt; 0.05). Meanwhile, abnormal returns at t</w:t>
      </w:r>
      <w:r>
        <w:rPr>
          <w:rFonts w:ascii="Garamond" w:hAnsi="Garamond"/>
        </w:rPr>
        <w:t>0</w:t>
      </w:r>
      <w:r w:rsidRPr="00330527">
        <w:rPr>
          <w:rFonts w:ascii="Garamond" w:hAnsi="Garamond"/>
        </w:rPr>
        <w:t>, t+2, t+3, and CAR (0,3) are normally distributed, as indicated by significance values above 0.05</w:t>
      </w:r>
      <w:r>
        <w:rPr>
          <w:rFonts w:ascii="Garamond" w:hAnsi="Garamond"/>
        </w:rPr>
        <w:t>.</w:t>
      </w:r>
    </w:p>
    <w:p w14:paraId="13C2323F" w14:textId="77777777" w:rsidR="00AA552B" w:rsidRPr="00361EEF" w:rsidRDefault="00AA552B" w:rsidP="00AA552B">
      <w:pPr>
        <w:jc w:val="both"/>
        <w:rPr>
          <w:rFonts w:ascii="Garamond" w:hAnsi="Garamond"/>
          <w:i/>
          <w:iCs/>
        </w:rPr>
      </w:pPr>
    </w:p>
    <w:p w14:paraId="67F9DFFA" w14:textId="2BBB721F" w:rsidR="00AA552B" w:rsidRPr="00492D4C" w:rsidRDefault="00AA552B" w:rsidP="00AA552B">
      <w:pPr>
        <w:spacing w:after="160"/>
        <w:contextualSpacing/>
        <w:jc w:val="center"/>
        <w:rPr>
          <w:rFonts w:ascii="Garamond" w:hAnsi="Garamond"/>
          <w:b/>
          <w:bCs/>
        </w:rPr>
      </w:pPr>
      <w:r w:rsidRPr="00492D4C">
        <w:rPr>
          <w:rFonts w:ascii="Garamond" w:hAnsi="Garamond"/>
          <w:b/>
          <w:bCs/>
        </w:rPr>
        <w:t xml:space="preserve">Table </w:t>
      </w:r>
      <w:r w:rsidR="00247575">
        <w:rPr>
          <w:rFonts w:ascii="Garamond" w:hAnsi="Garamond"/>
          <w:b/>
          <w:bCs/>
        </w:rPr>
        <w:t>VIII</w:t>
      </w:r>
      <w:r w:rsidRPr="00492D4C">
        <w:rPr>
          <w:rFonts w:ascii="Garamond" w:hAnsi="Garamond"/>
          <w:b/>
          <w:bCs/>
        </w:rPr>
        <w:t>.</w:t>
      </w:r>
      <w:r>
        <w:rPr>
          <w:rFonts w:ascii="Garamond" w:hAnsi="Garamond"/>
          <w:b/>
          <w:bCs/>
        </w:rPr>
        <w:t xml:space="preserve"> </w:t>
      </w:r>
      <w:r w:rsidR="001D0296" w:rsidRPr="001D0296">
        <w:rPr>
          <w:rFonts w:ascii="Garamond" w:hAnsi="Garamond"/>
          <w:b/>
          <w:bCs/>
        </w:rPr>
        <w:t>Normality Test Event 3 (Tariff Adjustment Announcement)</w:t>
      </w:r>
    </w:p>
    <w:p w14:paraId="7812608B" w14:textId="77777777" w:rsidR="00AA552B" w:rsidRDefault="00AA552B" w:rsidP="00AA552B">
      <w:pPr>
        <w:spacing w:after="160"/>
        <w:contextualSpacing/>
        <w:rPr>
          <w:rFonts w:ascii="Garamond" w:hAnsi="Garamond"/>
          <w:b/>
          <w:bCs/>
        </w:rPr>
      </w:pPr>
    </w:p>
    <w:tbl>
      <w:tblPr>
        <w:tblStyle w:val="PlainTable1"/>
        <w:tblW w:w="0" w:type="auto"/>
        <w:jc w:val="center"/>
        <w:tblLook w:val="04A0" w:firstRow="1" w:lastRow="0" w:firstColumn="1" w:lastColumn="0" w:noHBand="0" w:noVBand="1"/>
      </w:tblPr>
      <w:tblGrid>
        <w:gridCol w:w="1054"/>
        <w:gridCol w:w="387"/>
        <w:gridCol w:w="891"/>
        <w:gridCol w:w="635"/>
      </w:tblGrid>
      <w:tr w:rsidR="002B4B43" w:rsidRPr="002B4B43" w14:paraId="066B33E4" w14:textId="77777777" w:rsidTr="006A44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63D27A" w14:textId="09C5BF56" w:rsidR="002B4B43" w:rsidRPr="002B4B43" w:rsidRDefault="00DE757B" w:rsidP="006A44E8">
            <w:pPr>
              <w:spacing w:after="160"/>
              <w:contextualSpacing/>
              <w:jc w:val="both"/>
              <w:rPr>
                <w:rFonts w:ascii="Garamond" w:hAnsi="Garamond"/>
                <w:sz w:val="20"/>
                <w:szCs w:val="20"/>
              </w:rPr>
            </w:pPr>
            <w:r>
              <w:rPr>
                <w:rFonts w:ascii="Garamond" w:hAnsi="Garamond"/>
                <w:sz w:val="20"/>
                <w:szCs w:val="20"/>
              </w:rPr>
              <w:t>Day</w:t>
            </w:r>
          </w:p>
        </w:tc>
        <w:tc>
          <w:tcPr>
            <w:tcW w:w="0" w:type="auto"/>
            <w:hideMark/>
          </w:tcPr>
          <w:p w14:paraId="1E8E7946" w14:textId="77777777" w:rsidR="002B4B43" w:rsidRPr="002B4B43" w:rsidRDefault="002B4B43"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proofErr w:type="spellStart"/>
            <w:r w:rsidRPr="002B4B43">
              <w:rPr>
                <w:rFonts w:ascii="Garamond" w:hAnsi="Garamond"/>
                <w:sz w:val="20"/>
                <w:szCs w:val="20"/>
              </w:rPr>
              <w:t>df</w:t>
            </w:r>
            <w:proofErr w:type="spellEnd"/>
          </w:p>
        </w:tc>
        <w:tc>
          <w:tcPr>
            <w:tcW w:w="0" w:type="auto"/>
            <w:hideMark/>
          </w:tcPr>
          <w:p w14:paraId="5ACF3BEF" w14:textId="77777777" w:rsidR="002B4B43" w:rsidRPr="002B4B43" w:rsidRDefault="002B4B43"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B4B43">
              <w:rPr>
                <w:rFonts w:ascii="Garamond" w:hAnsi="Garamond"/>
                <w:sz w:val="20"/>
                <w:szCs w:val="20"/>
              </w:rPr>
              <w:t>Statistic</w:t>
            </w:r>
          </w:p>
        </w:tc>
        <w:tc>
          <w:tcPr>
            <w:tcW w:w="0" w:type="auto"/>
          </w:tcPr>
          <w:p w14:paraId="5B3B20EE" w14:textId="77777777" w:rsidR="002B4B43" w:rsidRPr="002B4B43" w:rsidRDefault="002B4B43"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2B4B43">
              <w:rPr>
                <w:rFonts w:ascii="Garamond" w:hAnsi="Garamond"/>
                <w:sz w:val="20"/>
                <w:szCs w:val="20"/>
              </w:rPr>
              <w:t>Sig.</w:t>
            </w:r>
          </w:p>
        </w:tc>
      </w:tr>
      <w:tr w:rsidR="002B4B43" w:rsidRPr="002B4B43" w14:paraId="09A178D5"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B254BE" w14:textId="77777777" w:rsidR="002B4B43" w:rsidRPr="002B4B43" w:rsidRDefault="002B4B43" w:rsidP="002B4B43">
            <w:pPr>
              <w:spacing w:after="160"/>
              <w:contextualSpacing/>
              <w:jc w:val="both"/>
              <w:rPr>
                <w:rFonts w:ascii="Garamond" w:hAnsi="Garamond"/>
                <w:sz w:val="20"/>
                <w:szCs w:val="20"/>
              </w:rPr>
            </w:pPr>
            <w:r w:rsidRPr="002B4B43">
              <w:rPr>
                <w:rFonts w:ascii="Garamond" w:hAnsi="Garamond"/>
                <w:sz w:val="20"/>
                <w:szCs w:val="20"/>
              </w:rPr>
              <w:t>t0</w:t>
            </w:r>
          </w:p>
        </w:tc>
        <w:tc>
          <w:tcPr>
            <w:tcW w:w="0" w:type="auto"/>
            <w:hideMark/>
          </w:tcPr>
          <w:p w14:paraId="2969EF97" w14:textId="77777777" w:rsidR="002B4B43" w:rsidRPr="002B4B43" w:rsidRDefault="002B4B43" w:rsidP="002B4B43">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B4B43">
              <w:rPr>
                <w:rFonts w:ascii="Garamond" w:hAnsi="Garamond"/>
                <w:sz w:val="20"/>
                <w:szCs w:val="20"/>
              </w:rPr>
              <w:t>6</w:t>
            </w:r>
          </w:p>
        </w:tc>
        <w:tc>
          <w:tcPr>
            <w:tcW w:w="0" w:type="auto"/>
            <w:hideMark/>
          </w:tcPr>
          <w:p w14:paraId="60194347" w14:textId="2E4CE0BA" w:rsidR="002B4B43" w:rsidRPr="002B4B43" w:rsidRDefault="002B4B43" w:rsidP="002B4B43">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B4B43">
              <w:rPr>
                <w:rFonts w:ascii="Garamond" w:hAnsi="Garamond"/>
                <w:sz w:val="20"/>
                <w:szCs w:val="20"/>
              </w:rPr>
              <w:t>0,240</w:t>
            </w:r>
          </w:p>
        </w:tc>
        <w:tc>
          <w:tcPr>
            <w:tcW w:w="0" w:type="auto"/>
          </w:tcPr>
          <w:p w14:paraId="4436E950" w14:textId="2F5D5480" w:rsidR="002B4B43" w:rsidRPr="002B4B43" w:rsidRDefault="002B4B43" w:rsidP="002B4B43">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B4B43">
              <w:rPr>
                <w:rFonts w:ascii="Garamond" w:hAnsi="Garamond"/>
                <w:sz w:val="20"/>
                <w:szCs w:val="20"/>
              </w:rPr>
              <w:t>0,200</w:t>
            </w:r>
          </w:p>
        </w:tc>
      </w:tr>
      <w:tr w:rsidR="002B4B43" w:rsidRPr="002B4B43" w14:paraId="247A96B3"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A543E5" w14:textId="77777777" w:rsidR="002B4B43" w:rsidRPr="002B4B43" w:rsidRDefault="002B4B43" w:rsidP="002B4B43">
            <w:pPr>
              <w:spacing w:after="160"/>
              <w:contextualSpacing/>
              <w:jc w:val="both"/>
              <w:rPr>
                <w:rFonts w:ascii="Garamond" w:hAnsi="Garamond"/>
                <w:sz w:val="20"/>
                <w:szCs w:val="20"/>
              </w:rPr>
            </w:pPr>
            <w:r w:rsidRPr="002B4B43">
              <w:rPr>
                <w:rFonts w:ascii="Garamond" w:hAnsi="Garamond"/>
                <w:sz w:val="20"/>
                <w:szCs w:val="20"/>
              </w:rPr>
              <w:t>t+1</w:t>
            </w:r>
          </w:p>
        </w:tc>
        <w:tc>
          <w:tcPr>
            <w:tcW w:w="0" w:type="auto"/>
            <w:hideMark/>
          </w:tcPr>
          <w:p w14:paraId="692A6ABA" w14:textId="77777777" w:rsidR="002B4B43" w:rsidRPr="002B4B43" w:rsidRDefault="002B4B43" w:rsidP="002B4B43">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B4B43">
              <w:rPr>
                <w:rFonts w:ascii="Garamond" w:hAnsi="Garamond"/>
                <w:sz w:val="20"/>
                <w:szCs w:val="20"/>
              </w:rPr>
              <w:t>6</w:t>
            </w:r>
          </w:p>
        </w:tc>
        <w:tc>
          <w:tcPr>
            <w:tcW w:w="0" w:type="auto"/>
            <w:hideMark/>
          </w:tcPr>
          <w:p w14:paraId="1B4D46CD" w14:textId="3E2B3910" w:rsidR="002B4B43" w:rsidRPr="002B4B43" w:rsidRDefault="002B4B43" w:rsidP="002B4B43">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B4B43">
              <w:rPr>
                <w:rFonts w:ascii="Garamond" w:hAnsi="Garamond"/>
                <w:sz w:val="20"/>
                <w:szCs w:val="20"/>
              </w:rPr>
              <w:t>0,232</w:t>
            </w:r>
          </w:p>
        </w:tc>
        <w:tc>
          <w:tcPr>
            <w:tcW w:w="0" w:type="auto"/>
          </w:tcPr>
          <w:p w14:paraId="7EA1E928" w14:textId="773F697B" w:rsidR="002B4B43" w:rsidRPr="002B4B43" w:rsidRDefault="002B4B43" w:rsidP="002B4B43">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B4B43">
              <w:rPr>
                <w:rFonts w:ascii="Garamond" w:hAnsi="Garamond"/>
                <w:sz w:val="20"/>
                <w:szCs w:val="20"/>
              </w:rPr>
              <w:t>0,200</w:t>
            </w:r>
          </w:p>
        </w:tc>
      </w:tr>
      <w:tr w:rsidR="002B4B43" w:rsidRPr="002B4B43" w14:paraId="0A0AF7B4"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DF40B8D" w14:textId="77777777" w:rsidR="002B4B43" w:rsidRPr="002B4B43" w:rsidRDefault="002B4B43" w:rsidP="002B4B43">
            <w:pPr>
              <w:spacing w:after="160"/>
              <w:contextualSpacing/>
              <w:jc w:val="both"/>
              <w:rPr>
                <w:rFonts w:ascii="Garamond" w:hAnsi="Garamond"/>
                <w:sz w:val="20"/>
                <w:szCs w:val="20"/>
              </w:rPr>
            </w:pPr>
            <w:r w:rsidRPr="002B4B43">
              <w:rPr>
                <w:rFonts w:ascii="Garamond" w:hAnsi="Garamond"/>
                <w:sz w:val="20"/>
                <w:szCs w:val="20"/>
              </w:rPr>
              <w:t>t+2</w:t>
            </w:r>
          </w:p>
        </w:tc>
        <w:tc>
          <w:tcPr>
            <w:tcW w:w="0" w:type="auto"/>
          </w:tcPr>
          <w:p w14:paraId="666BCE60" w14:textId="77777777" w:rsidR="002B4B43" w:rsidRPr="002B4B43" w:rsidRDefault="002B4B43" w:rsidP="002B4B43">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B4B43">
              <w:rPr>
                <w:rFonts w:ascii="Garamond" w:hAnsi="Garamond"/>
                <w:sz w:val="20"/>
                <w:szCs w:val="20"/>
              </w:rPr>
              <w:t>6</w:t>
            </w:r>
          </w:p>
        </w:tc>
        <w:tc>
          <w:tcPr>
            <w:tcW w:w="0" w:type="auto"/>
          </w:tcPr>
          <w:p w14:paraId="50D934E1" w14:textId="6FFADFC6" w:rsidR="002B4B43" w:rsidRPr="002B4B43" w:rsidRDefault="002B4B43" w:rsidP="002B4B43">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B4B43">
              <w:rPr>
                <w:rFonts w:ascii="Garamond" w:hAnsi="Garamond"/>
                <w:sz w:val="20"/>
                <w:szCs w:val="20"/>
              </w:rPr>
              <w:t>0,189</w:t>
            </w:r>
          </w:p>
        </w:tc>
        <w:tc>
          <w:tcPr>
            <w:tcW w:w="0" w:type="auto"/>
          </w:tcPr>
          <w:p w14:paraId="37CE8D2E" w14:textId="67AB13C7" w:rsidR="002B4B43" w:rsidRPr="002B4B43" w:rsidRDefault="002B4B43" w:rsidP="002B4B43">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B4B43">
              <w:rPr>
                <w:rFonts w:ascii="Garamond" w:hAnsi="Garamond"/>
                <w:sz w:val="20"/>
                <w:szCs w:val="20"/>
              </w:rPr>
              <w:t>0,200</w:t>
            </w:r>
          </w:p>
        </w:tc>
      </w:tr>
      <w:tr w:rsidR="002B4B43" w:rsidRPr="002B4B43" w14:paraId="56F1345A"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1CD6DA2" w14:textId="77777777" w:rsidR="002B4B43" w:rsidRPr="002B4B43" w:rsidRDefault="002B4B43" w:rsidP="002B4B43">
            <w:pPr>
              <w:spacing w:after="160"/>
              <w:contextualSpacing/>
              <w:jc w:val="both"/>
              <w:rPr>
                <w:rFonts w:ascii="Garamond" w:hAnsi="Garamond"/>
                <w:sz w:val="20"/>
                <w:szCs w:val="20"/>
              </w:rPr>
            </w:pPr>
            <w:r w:rsidRPr="002B4B43">
              <w:rPr>
                <w:rFonts w:ascii="Garamond" w:hAnsi="Garamond"/>
                <w:sz w:val="20"/>
                <w:szCs w:val="20"/>
              </w:rPr>
              <w:t>t+3</w:t>
            </w:r>
          </w:p>
        </w:tc>
        <w:tc>
          <w:tcPr>
            <w:tcW w:w="0" w:type="auto"/>
          </w:tcPr>
          <w:p w14:paraId="20F3D75D" w14:textId="77777777" w:rsidR="002B4B43" w:rsidRPr="002B4B43" w:rsidRDefault="002B4B43" w:rsidP="002B4B43">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B4B43">
              <w:rPr>
                <w:rFonts w:ascii="Garamond" w:hAnsi="Garamond"/>
                <w:sz w:val="20"/>
                <w:szCs w:val="20"/>
              </w:rPr>
              <w:t>6</w:t>
            </w:r>
          </w:p>
        </w:tc>
        <w:tc>
          <w:tcPr>
            <w:tcW w:w="0" w:type="auto"/>
          </w:tcPr>
          <w:p w14:paraId="4599D9C2" w14:textId="4F63A361" w:rsidR="002B4B43" w:rsidRPr="002B4B43" w:rsidRDefault="002B4B43" w:rsidP="002B4B43">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B4B43">
              <w:rPr>
                <w:rFonts w:ascii="Garamond" w:hAnsi="Garamond"/>
                <w:sz w:val="20"/>
                <w:szCs w:val="20"/>
              </w:rPr>
              <w:t>0,324</w:t>
            </w:r>
          </w:p>
        </w:tc>
        <w:tc>
          <w:tcPr>
            <w:tcW w:w="0" w:type="auto"/>
          </w:tcPr>
          <w:p w14:paraId="3A43D28D" w14:textId="326443A2" w:rsidR="002B4B43" w:rsidRPr="002B4B43" w:rsidRDefault="002B4B43" w:rsidP="002B4B43">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2B4B43">
              <w:rPr>
                <w:rFonts w:ascii="Garamond" w:hAnsi="Garamond"/>
                <w:sz w:val="20"/>
                <w:szCs w:val="20"/>
              </w:rPr>
              <w:t>0,047</w:t>
            </w:r>
          </w:p>
        </w:tc>
      </w:tr>
      <w:tr w:rsidR="002B4B43" w:rsidRPr="002B4B43" w14:paraId="55C93BED"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E724552" w14:textId="77777777" w:rsidR="002B4B43" w:rsidRPr="002B4B43" w:rsidRDefault="002B4B43" w:rsidP="002B4B43">
            <w:pPr>
              <w:spacing w:after="160"/>
              <w:contextualSpacing/>
              <w:jc w:val="both"/>
              <w:rPr>
                <w:rFonts w:ascii="Garamond" w:hAnsi="Garamond"/>
                <w:sz w:val="20"/>
                <w:szCs w:val="20"/>
              </w:rPr>
            </w:pPr>
            <w:r w:rsidRPr="002B4B43">
              <w:rPr>
                <w:rFonts w:ascii="Garamond" w:hAnsi="Garamond"/>
                <w:sz w:val="20"/>
                <w:szCs w:val="20"/>
              </w:rPr>
              <w:t>CAR (0,3)</w:t>
            </w:r>
          </w:p>
        </w:tc>
        <w:tc>
          <w:tcPr>
            <w:tcW w:w="0" w:type="auto"/>
          </w:tcPr>
          <w:p w14:paraId="00DA58D3" w14:textId="77777777" w:rsidR="002B4B43" w:rsidRPr="002B4B43" w:rsidRDefault="002B4B43" w:rsidP="002B4B43">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B4B43">
              <w:rPr>
                <w:rFonts w:ascii="Garamond" w:hAnsi="Garamond"/>
                <w:sz w:val="20"/>
                <w:szCs w:val="20"/>
              </w:rPr>
              <w:t>6</w:t>
            </w:r>
          </w:p>
        </w:tc>
        <w:tc>
          <w:tcPr>
            <w:tcW w:w="0" w:type="auto"/>
          </w:tcPr>
          <w:p w14:paraId="538E37D8" w14:textId="0615E524" w:rsidR="002B4B43" w:rsidRPr="002B4B43" w:rsidRDefault="002B4B43" w:rsidP="002B4B43">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B4B43">
              <w:rPr>
                <w:rFonts w:ascii="Garamond" w:hAnsi="Garamond"/>
                <w:sz w:val="20"/>
                <w:szCs w:val="20"/>
              </w:rPr>
              <w:t>0,251</w:t>
            </w:r>
          </w:p>
        </w:tc>
        <w:tc>
          <w:tcPr>
            <w:tcW w:w="0" w:type="auto"/>
          </w:tcPr>
          <w:p w14:paraId="12014538" w14:textId="0974A270" w:rsidR="002B4B43" w:rsidRPr="002B4B43" w:rsidRDefault="002B4B43" w:rsidP="002B4B43">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2B4B43">
              <w:rPr>
                <w:rFonts w:ascii="Garamond" w:hAnsi="Garamond"/>
                <w:sz w:val="20"/>
                <w:szCs w:val="20"/>
              </w:rPr>
              <w:t>0,200</w:t>
            </w:r>
          </w:p>
        </w:tc>
      </w:tr>
    </w:tbl>
    <w:p w14:paraId="11AAF41E" w14:textId="77777777" w:rsidR="002B4B43" w:rsidRPr="00492D4C" w:rsidRDefault="002B4B43" w:rsidP="00AA552B">
      <w:pPr>
        <w:spacing w:after="160"/>
        <w:contextualSpacing/>
        <w:rPr>
          <w:rFonts w:ascii="Garamond" w:hAnsi="Garamond"/>
          <w:b/>
          <w:bCs/>
        </w:rPr>
      </w:pPr>
    </w:p>
    <w:p w14:paraId="511CFC48" w14:textId="77777777" w:rsidR="00AA552B" w:rsidRDefault="00AA552B" w:rsidP="00AA552B">
      <w:pPr>
        <w:jc w:val="both"/>
        <w:rPr>
          <w:rFonts w:ascii="Garamond" w:hAnsi="Garamond"/>
          <w:i/>
          <w:iCs/>
        </w:rPr>
      </w:pPr>
      <w:r w:rsidRPr="00492D4C">
        <w:rPr>
          <w:rFonts w:ascii="Garamond" w:hAnsi="Garamond"/>
          <w:b/>
          <w:bCs/>
          <w:i/>
          <w:iCs/>
        </w:rPr>
        <w:t>Source:</w:t>
      </w:r>
      <w:r w:rsidRPr="00492D4C">
        <w:rPr>
          <w:rFonts w:ascii="Garamond" w:hAnsi="Garamond"/>
          <w:i/>
          <w:iCs/>
        </w:rPr>
        <w:t xml:space="preserve"> </w:t>
      </w:r>
      <w:r w:rsidRPr="003F3A81">
        <w:rPr>
          <w:rFonts w:ascii="Garamond" w:hAnsi="Garamond"/>
          <w:i/>
          <w:iCs/>
        </w:rPr>
        <w:t>Processed by the author</w:t>
      </w:r>
      <w:r>
        <w:rPr>
          <w:rFonts w:ascii="Garamond" w:hAnsi="Garamond"/>
          <w:i/>
          <w:iCs/>
        </w:rPr>
        <w:t xml:space="preserve"> (2025)</w:t>
      </w:r>
    </w:p>
    <w:p w14:paraId="235D95BD" w14:textId="4F991F59" w:rsidR="00330527" w:rsidRDefault="00330527" w:rsidP="00AA552B">
      <w:pPr>
        <w:ind w:firstLine="851"/>
        <w:jc w:val="both"/>
        <w:rPr>
          <w:rFonts w:ascii="Garamond" w:hAnsi="Garamond"/>
        </w:rPr>
      </w:pPr>
      <w:r w:rsidRPr="00330527">
        <w:rPr>
          <w:rFonts w:ascii="Garamond" w:hAnsi="Garamond"/>
        </w:rPr>
        <w:t xml:space="preserve">The normality test results for </w:t>
      </w:r>
      <w:r w:rsidR="002B4B43">
        <w:rPr>
          <w:rFonts w:ascii="Garamond" w:hAnsi="Garamond"/>
        </w:rPr>
        <w:t>e</w:t>
      </w:r>
      <w:r w:rsidRPr="00330527">
        <w:rPr>
          <w:rFonts w:ascii="Garamond" w:hAnsi="Garamond"/>
        </w:rPr>
        <w:t xml:space="preserve">vent 3 show that only abnormal returns at t+3 are not normally distributed, with a significance value of 0.047 (&lt; 0.05). </w:t>
      </w:r>
      <w:r w:rsidR="002B4B43" w:rsidRPr="00330527">
        <w:rPr>
          <w:rFonts w:ascii="Garamond" w:hAnsi="Garamond"/>
        </w:rPr>
        <w:t>Meanwhile, abnormal returns at t</w:t>
      </w:r>
      <w:r w:rsidR="002B4B43">
        <w:rPr>
          <w:rFonts w:ascii="Garamond" w:hAnsi="Garamond"/>
        </w:rPr>
        <w:t>0</w:t>
      </w:r>
      <w:r w:rsidR="002B4B43" w:rsidRPr="00330527">
        <w:rPr>
          <w:rFonts w:ascii="Garamond" w:hAnsi="Garamond"/>
        </w:rPr>
        <w:t>, t+</w:t>
      </w:r>
      <w:r w:rsidR="002B4B43">
        <w:rPr>
          <w:rFonts w:ascii="Garamond" w:hAnsi="Garamond"/>
        </w:rPr>
        <w:t>1</w:t>
      </w:r>
      <w:r w:rsidR="002B4B43" w:rsidRPr="00330527">
        <w:rPr>
          <w:rFonts w:ascii="Garamond" w:hAnsi="Garamond"/>
        </w:rPr>
        <w:t>, t+</w:t>
      </w:r>
      <w:r w:rsidR="002B4B43">
        <w:rPr>
          <w:rFonts w:ascii="Garamond" w:hAnsi="Garamond"/>
        </w:rPr>
        <w:t>2</w:t>
      </w:r>
      <w:r w:rsidR="002B4B43" w:rsidRPr="00330527">
        <w:rPr>
          <w:rFonts w:ascii="Garamond" w:hAnsi="Garamond"/>
        </w:rPr>
        <w:t>, and CAR (0,3) are normally distributed, as indicated by significance values above 0.05</w:t>
      </w:r>
    </w:p>
    <w:p w14:paraId="6A787C08" w14:textId="4BAAD783" w:rsidR="00D4015C" w:rsidRDefault="00D4015C" w:rsidP="00AA552B">
      <w:pPr>
        <w:ind w:firstLine="851"/>
        <w:jc w:val="both"/>
        <w:rPr>
          <w:rFonts w:ascii="Garamond" w:hAnsi="Garamond"/>
        </w:rPr>
      </w:pPr>
      <w:r w:rsidRPr="00D4015C">
        <w:rPr>
          <w:rFonts w:ascii="Garamond" w:hAnsi="Garamond"/>
        </w:rPr>
        <w:t>Based on the results of the normality tests, different statistical procedures are applied in hypothesis testing. For observations that are normally distributed, a one-sample t-test is employed to examine whether abnormal returns and cumulative abnormal returns are significantly different from zero. Meanwhile, for observations that do not satisfy the normality assumption, the Wilcoxon signed-rank test is used as a non-parametric alternative. This approach ensures that the hypothesis testing procedure is consistent with the underlying distributional properties of the data.</w:t>
      </w:r>
    </w:p>
    <w:p w14:paraId="75F035E0" w14:textId="77777777" w:rsidR="00DE757B" w:rsidRDefault="00DE757B" w:rsidP="00AA552B">
      <w:pPr>
        <w:ind w:firstLine="851"/>
        <w:jc w:val="both"/>
        <w:rPr>
          <w:rFonts w:ascii="Garamond" w:hAnsi="Garamond"/>
        </w:rPr>
      </w:pPr>
    </w:p>
    <w:p w14:paraId="03781367" w14:textId="47C2977C" w:rsidR="00DE757B" w:rsidRPr="00492D4C" w:rsidRDefault="00DE757B" w:rsidP="00DE757B">
      <w:pPr>
        <w:spacing w:after="160"/>
        <w:contextualSpacing/>
        <w:jc w:val="center"/>
        <w:rPr>
          <w:rFonts w:ascii="Garamond" w:hAnsi="Garamond"/>
          <w:b/>
          <w:bCs/>
        </w:rPr>
      </w:pPr>
      <w:r w:rsidRPr="00492D4C">
        <w:rPr>
          <w:rFonts w:ascii="Garamond" w:hAnsi="Garamond"/>
          <w:b/>
          <w:bCs/>
        </w:rPr>
        <w:t xml:space="preserve">Table </w:t>
      </w:r>
      <w:r w:rsidR="00247575">
        <w:rPr>
          <w:rFonts w:ascii="Garamond" w:hAnsi="Garamond"/>
          <w:b/>
          <w:bCs/>
        </w:rPr>
        <w:t>IX</w:t>
      </w:r>
      <w:r w:rsidRPr="00492D4C">
        <w:rPr>
          <w:rFonts w:ascii="Garamond" w:hAnsi="Garamond"/>
          <w:b/>
          <w:bCs/>
        </w:rPr>
        <w:t>.</w:t>
      </w:r>
      <w:r>
        <w:rPr>
          <w:rFonts w:ascii="Garamond" w:hAnsi="Garamond"/>
          <w:b/>
          <w:bCs/>
        </w:rPr>
        <w:t xml:space="preserve"> </w:t>
      </w:r>
      <w:r w:rsidR="00AD2949" w:rsidRPr="00AD2949">
        <w:rPr>
          <w:rFonts w:ascii="Garamond" w:hAnsi="Garamond"/>
          <w:b/>
          <w:bCs/>
        </w:rPr>
        <w:t>Hypothesis Test Results for Event 1 (Tariff Announcement)</w:t>
      </w:r>
    </w:p>
    <w:p w14:paraId="308CFE95" w14:textId="77777777" w:rsidR="00DE757B" w:rsidRDefault="00DE757B" w:rsidP="00DE757B">
      <w:pPr>
        <w:spacing w:after="160"/>
        <w:contextualSpacing/>
        <w:rPr>
          <w:rFonts w:ascii="Garamond" w:hAnsi="Garamond"/>
          <w:b/>
          <w:bCs/>
        </w:rPr>
      </w:pPr>
    </w:p>
    <w:tbl>
      <w:tblPr>
        <w:tblStyle w:val="PlainTable1"/>
        <w:tblW w:w="0" w:type="auto"/>
        <w:jc w:val="center"/>
        <w:tblLook w:val="04A0" w:firstRow="1" w:lastRow="0" w:firstColumn="1" w:lastColumn="0" w:noHBand="0" w:noVBand="1"/>
      </w:tblPr>
      <w:tblGrid>
        <w:gridCol w:w="1054"/>
        <w:gridCol w:w="3001"/>
        <w:gridCol w:w="837"/>
        <w:gridCol w:w="1395"/>
      </w:tblGrid>
      <w:tr w:rsidR="00DE757B" w:rsidRPr="00CC3531" w14:paraId="0D86D324" w14:textId="77777777" w:rsidTr="006A44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0F5B65" w14:textId="2BECBC66" w:rsidR="00DE757B" w:rsidRPr="00CC3531" w:rsidRDefault="00DE757B" w:rsidP="006A44E8">
            <w:pPr>
              <w:spacing w:after="160"/>
              <w:contextualSpacing/>
              <w:jc w:val="both"/>
              <w:rPr>
                <w:rFonts w:ascii="Garamond" w:hAnsi="Garamond"/>
                <w:sz w:val="20"/>
                <w:szCs w:val="20"/>
              </w:rPr>
            </w:pPr>
            <w:r w:rsidRPr="00CC3531">
              <w:rPr>
                <w:rFonts w:ascii="Garamond" w:hAnsi="Garamond"/>
                <w:sz w:val="20"/>
                <w:szCs w:val="20"/>
              </w:rPr>
              <w:t>Day</w:t>
            </w:r>
          </w:p>
        </w:tc>
        <w:tc>
          <w:tcPr>
            <w:tcW w:w="0" w:type="auto"/>
            <w:hideMark/>
          </w:tcPr>
          <w:p w14:paraId="6431ED2F" w14:textId="6C26C621" w:rsidR="00DE757B" w:rsidRPr="00CC3531" w:rsidRDefault="00CC3531"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CC3531">
              <w:rPr>
                <w:rFonts w:ascii="Garamond" w:hAnsi="Garamond"/>
                <w:sz w:val="20"/>
                <w:szCs w:val="20"/>
              </w:rPr>
              <w:t>test</w:t>
            </w:r>
          </w:p>
        </w:tc>
        <w:tc>
          <w:tcPr>
            <w:tcW w:w="0" w:type="auto"/>
            <w:hideMark/>
          </w:tcPr>
          <w:p w14:paraId="6A650674" w14:textId="3AEBE2CF" w:rsidR="00DE757B" w:rsidRPr="00CC3531" w:rsidRDefault="00CC3531"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CC3531">
              <w:rPr>
                <w:rFonts w:ascii="Garamond" w:hAnsi="Garamond"/>
                <w:sz w:val="20"/>
                <w:szCs w:val="20"/>
              </w:rPr>
              <w:t>p-value</w:t>
            </w:r>
          </w:p>
        </w:tc>
        <w:tc>
          <w:tcPr>
            <w:tcW w:w="0" w:type="auto"/>
          </w:tcPr>
          <w:p w14:paraId="40B57CF0" w14:textId="66C6FA87" w:rsidR="00DE757B" w:rsidRPr="00CC3531" w:rsidRDefault="00CC3531"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CC3531">
              <w:rPr>
                <w:rFonts w:ascii="Garamond" w:hAnsi="Garamond"/>
                <w:sz w:val="20"/>
                <w:szCs w:val="20"/>
              </w:rPr>
              <w:t>Result</w:t>
            </w:r>
          </w:p>
        </w:tc>
      </w:tr>
      <w:tr w:rsidR="00CC3531" w:rsidRPr="00CC3531" w14:paraId="1A8F38D6"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5EB84A" w14:textId="77777777" w:rsidR="00CC3531" w:rsidRPr="00CC3531" w:rsidRDefault="00CC3531" w:rsidP="00CC3531">
            <w:pPr>
              <w:spacing w:after="160"/>
              <w:contextualSpacing/>
              <w:jc w:val="both"/>
              <w:rPr>
                <w:rFonts w:ascii="Garamond" w:hAnsi="Garamond"/>
                <w:sz w:val="20"/>
                <w:szCs w:val="20"/>
              </w:rPr>
            </w:pPr>
            <w:r w:rsidRPr="00CC3531">
              <w:rPr>
                <w:rFonts w:ascii="Garamond" w:hAnsi="Garamond"/>
                <w:sz w:val="20"/>
                <w:szCs w:val="20"/>
              </w:rPr>
              <w:t>t0</w:t>
            </w:r>
          </w:p>
        </w:tc>
        <w:tc>
          <w:tcPr>
            <w:tcW w:w="0" w:type="auto"/>
            <w:hideMark/>
          </w:tcPr>
          <w:p w14:paraId="34D0A8CE" w14:textId="766087D9" w:rsidR="00CC3531" w:rsidRPr="00CC3531" w:rsidRDefault="00CC3531" w:rsidP="00CC3531">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CC3531">
              <w:rPr>
                <w:rFonts w:ascii="Garamond" w:hAnsi="Garamond"/>
                <w:sz w:val="20"/>
                <w:szCs w:val="20"/>
              </w:rPr>
              <w:t>One-Sample Wilcoxon Signed Rank</w:t>
            </w:r>
          </w:p>
        </w:tc>
        <w:tc>
          <w:tcPr>
            <w:tcW w:w="0" w:type="auto"/>
            <w:hideMark/>
          </w:tcPr>
          <w:p w14:paraId="43E8A9F9" w14:textId="32F48456" w:rsidR="00CC3531" w:rsidRPr="00CC3531" w:rsidRDefault="00CC3531" w:rsidP="00CC3531">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CC3531">
              <w:rPr>
                <w:rFonts w:ascii="Garamond" w:hAnsi="Garamond"/>
                <w:sz w:val="20"/>
                <w:szCs w:val="20"/>
              </w:rPr>
              <w:t>0,043</w:t>
            </w:r>
          </w:p>
        </w:tc>
        <w:tc>
          <w:tcPr>
            <w:tcW w:w="0" w:type="auto"/>
          </w:tcPr>
          <w:p w14:paraId="4FCD85B4" w14:textId="731ABBF2" w:rsidR="00CC3531" w:rsidRPr="00CC3531" w:rsidRDefault="00CC3531" w:rsidP="00CC3531">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Significant</w:t>
            </w:r>
          </w:p>
        </w:tc>
      </w:tr>
      <w:tr w:rsidR="00CC3531" w:rsidRPr="00CC3531" w14:paraId="736FC9E6"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84398B" w14:textId="77777777" w:rsidR="00CC3531" w:rsidRPr="00CC3531" w:rsidRDefault="00CC3531" w:rsidP="00CC3531">
            <w:pPr>
              <w:spacing w:after="160"/>
              <w:contextualSpacing/>
              <w:jc w:val="both"/>
              <w:rPr>
                <w:rFonts w:ascii="Garamond" w:hAnsi="Garamond"/>
                <w:sz w:val="20"/>
                <w:szCs w:val="20"/>
              </w:rPr>
            </w:pPr>
            <w:r w:rsidRPr="00CC3531">
              <w:rPr>
                <w:rFonts w:ascii="Garamond" w:hAnsi="Garamond"/>
                <w:sz w:val="20"/>
                <w:szCs w:val="20"/>
              </w:rPr>
              <w:t>t+1</w:t>
            </w:r>
          </w:p>
        </w:tc>
        <w:tc>
          <w:tcPr>
            <w:tcW w:w="0" w:type="auto"/>
            <w:hideMark/>
          </w:tcPr>
          <w:p w14:paraId="02A04E22" w14:textId="7135DE85" w:rsidR="00CC3531" w:rsidRPr="00CC3531" w:rsidRDefault="00CC3531" w:rsidP="00CC3531">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CC3531">
              <w:rPr>
                <w:rFonts w:ascii="Garamond" w:hAnsi="Garamond"/>
                <w:sz w:val="20"/>
                <w:szCs w:val="20"/>
              </w:rPr>
              <w:t>One-Sample t-Test</w:t>
            </w:r>
          </w:p>
        </w:tc>
        <w:tc>
          <w:tcPr>
            <w:tcW w:w="0" w:type="auto"/>
            <w:hideMark/>
          </w:tcPr>
          <w:p w14:paraId="5AE23083" w14:textId="78E68BE1" w:rsidR="00CC3531" w:rsidRPr="00CC3531" w:rsidRDefault="00CC3531" w:rsidP="00CC3531">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CC3531">
              <w:rPr>
                <w:rFonts w:ascii="Garamond" w:hAnsi="Garamond"/>
                <w:sz w:val="20"/>
                <w:szCs w:val="20"/>
              </w:rPr>
              <w:t>0,018</w:t>
            </w:r>
          </w:p>
        </w:tc>
        <w:tc>
          <w:tcPr>
            <w:tcW w:w="0" w:type="auto"/>
          </w:tcPr>
          <w:p w14:paraId="326BFA58" w14:textId="3E4DDA17" w:rsidR="00CC3531" w:rsidRPr="00CC3531" w:rsidRDefault="00CC3531" w:rsidP="00CC3531">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Significant</w:t>
            </w:r>
          </w:p>
        </w:tc>
      </w:tr>
      <w:tr w:rsidR="00CC3531" w:rsidRPr="00CC3531" w14:paraId="42DC5134"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2A164C8" w14:textId="77777777" w:rsidR="00CC3531" w:rsidRPr="00CC3531" w:rsidRDefault="00CC3531" w:rsidP="00CC3531">
            <w:pPr>
              <w:spacing w:after="160"/>
              <w:contextualSpacing/>
              <w:jc w:val="both"/>
              <w:rPr>
                <w:rFonts w:ascii="Garamond" w:hAnsi="Garamond"/>
                <w:sz w:val="20"/>
                <w:szCs w:val="20"/>
              </w:rPr>
            </w:pPr>
            <w:r w:rsidRPr="00CC3531">
              <w:rPr>
                <w:rFonts w:ascii="Garamond" w:hAnsi="Garamond"/>
                <w:sz w:val="20"/>
                <w:szCs w:val="20"/>
              </w:rPr>
              <w:t>t+2</w:t>
            </w:r>
          </w:p>
        </w:tc>
        <w:tc>
          <w:tcPr>
            <w:tcW w:w="0" w:type="auto"/>
          </w:tcPr>
          <w:p w14:paraId="24A4199C" w14:textId="2476FA3D" w:rsidR="00CC3531" w:rsidRPr="00CC3531" w:rsidRDefault="00CC3531" w:rsidP="00CC3531">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CC3531">
              <w:rPr>
                <w:rFonts w:ascii="Garamond" w:hAnsi="Garamond"/>
                <w:sz w:val="20"/>
                <w:szCs w:val="20"/>
              </w:rPr>
              <w:t>One-Sample t-Test</w:t>
            </w:r>
          </w:p>
        </w:tc>
        <w:tc>
          <w:tcPr>
            <w:tcW w:w="0" w:type="auto"/>
          </w:tcPr>
          <w:p w14:paraId="46773E0D" w14:textId="40041829" w:rsidR="00CC3531" w:rsidRPr="00CC3531" w:rsidRDefault="00CC3531" w:rsidP="00CC3531">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CC3531">
              <w:rPr>
                <w:rFonts w:ascii="Garamond" w:hAnsi="Garamond"/>
                <w:sz w:val="20"/>
                <w:szCs w:val="20"/>
              </w:rPr>
              <w:t>0,002</w:t>
            </w:r>
          </w:p>
        </w:tc>
        <w:tc>
          <w:tcPr>
            <w:tcW w:w="0" w:type="auto"/>
          </w:tcPr>
          <w:p w14:paraId="67946464" w14:textId="656B8091" w:rsidR="00CC3531" w:rsidRPr="00CC3531" w:rsidRDefault="00CC3531" w:rsidP="00CC3531">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Significant</w:t>
            </w:r>
          </w:p>
        </w:tc>
      </w:tr>
      <w:tr w:rsidR="00CC3531" w:rsidRPr="00CC3531" w14:paraId="5E7EBD11"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92421EB" w14:textId="77777777" w:rsidR="00CC3531" w:rsidRPr="00CC3531" w:rsidRDefault="00CC3531" w:rsidP="00CC3531">
            <w:pPr>
              <w:spacing w:after="160"/>
              <w:contextualSpacing/>
              <w:jc w:val="both"/>
              <w:rPr>
                <w:rFonts w:ascii="Garamond" w:hAnsi="Garamond"/>
                <w:sz w:val="20"/>
                <w:szCs w:val="20"/>
              </w:rPr>
            </w:pPr>
            <w:r w:rsidRPr="00CC3531">
              <w:rPr>
                <w:rFonts w:ascii="Garamond" w:hAnsi="Garamond"/>
                <w:sz w:val="20"/>
                <w:szCs w:val="20"/>
              </w:rPr>
              <w:t>t+3</w:t>
            </w:r>
          </w:p>
        </w:tc>
        <w:tc>
          <w:tcPr>
            <w:tcW w:w="0" w:type="auto"/>
          </w:tcPr>
          <w:p w14:paraId="1A35E8AC" w14:textId="258FE482" w:rsidR="00CC3531" w:rsidRPr="00CC3531" w:rsidRDefault="00CC3531" w:rsidP="00CC3531">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CC3531">
              <w:rPr>
                <w:rFonts w:ascii="Garamond" w:hAnsi="Garamond"/>
                <w:sz w:val="20"/>
                <w:szCs w:val="20"/>
              </w:rPr>
              <w:t>One-Sample t-Test</w:t>
            </w:r>
          </w:p>
        </w:tc>
        <w:tc>
          <w:tcPr>
            <w:tcW w:w="0" w:type="auto"/>
          </w:tcPr>
          <w:p w14:paraId="212BE015" w14:textId="74CEAF2A" w:rsidR="00CC3531" w:rsidRPr="00CC3531" w:rsidRDefault="00CC3531" w:rsidP="00CC3531">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CC3531">
              <w:rPr>
                <w:rFonts w:ascii="Garamond" w:hAnsi="Garamond"/>
                <w:sz w:val="20"/>
                <w:szCs w:val="20"/>
              </w:rPr>
              <w:t>0,908</w:t>
            </w:r>
          </w:p>
        </w:tc>
        <w:tc>
          <w:tcPr>
            <w:tcW w:w="0" w:type="auto"/>
          </w:tcPr>
          <w:p w14:paraId="2B40580D" w14:textId="552311B9" w:rsidR="00CC3531" w:rsidRPr="00CC3531" w:rsidRDefault="00CC3531" w:rsidP="00CC3531">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Pr>
                <w:rFonts w:ascii="Garamond" w:hAnsi="Garamond"/>
                <w:sz w:val="20"/>
                <w:szCs w:val="20"/>
              </w:rPr>
              <w:t>Not Significant</w:t>
            </w:r>
          </w:p>
        </w:tc>
      </w:tr>
      <w:tr w:rsidR="00CC3531" w:rsidRPr="00CC3531" w14:paraId="52FFA2AD"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F2826EB" w14:textId="77777777" w:rsidR="00CC3531" w:rsidRPr="00CC3531" w:rsidRDefault="00CC3531" w:rsidP="00CC3531">
            <w:pPr>
              <w:spacing w:after="160"/>
              <w:contextualSpacing/>
              <w:jc w:val="both"/>
              <w:rPr>
                <w:rFonts w:ascii="Garamond" w:hAnsi="Garamond"/>
                <w:sz w:val="20"/>
                <w:szCs w:val="20"/>
              </w:rPr>
            </w:pPr>
            <w:r w:rsidRPr="00CC3531">
              <w:rPr>
                <w:rFonts w:ascii="Garamond" w:hAnsi="Garamond"/>
                <w:sz w:val="20"/>
                <w:szCs w:val="20"/>
              </w:rPr>
              <w:t>CAR (0,3)</w:t>
            </w:r>
          </w:p>
        </w:tc>
        <w:tc>
          <w:tcPr>
            <w:tcW w:w="0" w:type="auto"/>
          </w:tcPr>
          <w:p w14:paraId="0269D4E0" w14:textId="2E034380" w:rsidR="00CC3531" w:rsidRPr="00CC3531" w:rsidRDefault="00CC3531" w:rsidP="00CC3531">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CC3531">
              <w:rPr>
                <w:rFonts w:ascii="Garamond" w:hAnsi="Garamond"/>
                <w:sz w:val="20"/>
                <w:szCs w:val="20"/>
              </w:rPr>
              <w:t>One-Sample t-Test</w:t>
            </w:r>
          </w:p>
        </w:tc>
        <w:tc>
          <w:tcPr>
            <w:tcW w:w="0" w:type="auto"/>
          </w:tcPr>
          <w:p w14:paraId="31183E23" w14:textId="2908914B" w:rsidR="00CC3531" w:rsidRPr="00CC3531" w:rsidRDefault="00CC3531" w:rsidP="00CC3531">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CC3531">
              <w:rPr>
                <w:rFonts w:ascii="Garamond" w:hAnsi="Garamond"/>
                <w:sz w:val="20"/>
                <w:szCs w:val="20"/>
              </w:rPr>
              <w:t>0,029</w:t>
            </w:r>
          </w:p>
        </w:tc>
        <w:tc>
          <w:tcPr>
            <w:tcW w:w="0" w:type="auto"/>
          </w:tcPr>
          <w:p w14:paraId="0A14975E" w14:textId="1CC2C1C0" w:rsidR="00CC3531" w:rsidRPr="00CC3531" w:rsidRDefault="00CC3531" w:rsidP="00CC3531">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Pr>
                <w:rFonts w:ascii="Garamond" w:hAnsi="Garamond"/>
                <w:sz w:val="20"/>
                <w:szCs w:val="20"/>
              </w:rPr>
              <w:t>Significant</w:t>
            </w:r>
          </w:p>
        </w:tc>
      </w:tr>
    </w:tbl>
    <w:p w14:paraId="3410A329" w14:textId="77777777" w:rsidR="00DE757B" w:rsidRPr="00492D4C" w:rsidRDefault="00DE757B" w:rsidP="00DE757B">
      <w:pPr>
        <w:spacing w:after="160"/>
        <w:contextualSpacing/>
        <w:rPr>
          <w:rFonts w:ascii="Garamond" w:hAnsi="Garamond"/>
          <w:b/>
          <w:bCs/>
        </w:rPr>
      </w:pPr>
    </w:p>
    <w:p w14:paraId="7D502D57" w14:textId="77777777" w:rsidR="00DE757B" w:rsidRDefault="00DE757B" w:rsidP="00DE757B">
      <w:pPr>
        <w:jc w:val="both"/>
        <w:rPr>
          <w:rFonts w:ascii="Garamond" w:hAnsi="Garamond"/>
          <w:i/>
          <w:iCs/>
        </w:rPr>
      </w:pPr>
      <w:r w:rsidRPr="00492D4C">
        <w:rPr>
          <w:rFonts w:ascii="Garamond" w:hAnsi="Garamond"/>
          <w:b/>
          <w:bCs/>
          <w:i/>
          <w:iCs/>
        </w:rPr>
        <w:t>Source:</w:t>
      </w:r>
      <w:r w:rsidRPr="00492D4C">
        <w:rPr>
          <w:rFonts w:ascii="Garamond" w:hAnsi="Garamond"/>
          <w:i/>
          <w:iCs/>
        </w:rPr>
        <w:t xml:space="preserve"> </w:t>
      </w:r>
      <w:r w:rsidRPr="003F3A81">
        <w:rPr>
          <w:rFonts w:ascii="Garamond" w:hAnsi="Garamond"/>
          <w:i/>
          <w:iCs/>
        </w:rPr>
        <w:t>Processed by the author</w:t>
      </w:r>
      <w:r>
        <w:rPr>
          <w:rFonts w:ascii="Garamond" w:hAnsi="Garamond"/>
          <w:i/>
          <w:iCs/>
        </w:rPr>
        <w:t xml:space="preserve"> (2025)</w:t>
      </w:r>
    </w:p>
    <w:p w14:paraId="419C0C54" w14:textId="4C4A3681" w:rsidR="00605C9E" w:rsidRDefault="00AD2949" w:rsidP="00AA552B">
      <w:pPr>
        <w:ind w:firstLine="851"/>
        <w:jc w:val="both"/>
        <w:rPr>
          <w:rFonts w:ascii="Garamond" w:hAnsi="Garamond"/>
        </w:rPr>
      </w:pPr>
      <w:r w:rsidRPr="00AD2949">
        <w:rPr>
          <w:rFonts w:ascii="Garamond" w:hAnsi="Garamond"/>
        </w:rPr>
        <w:t>Based on the hypothesis testing results for Event 1, the announcement of the initial U.S. “reciprocal” tariff generated statistically significant abnormal returns in ASEAN stock markets on most days within the event window. Abnormal returns at t0 are significant according to the Wilcoxon signed rank test, indicating an immediate market reaction on the announcement day. In addition, the one-sample t-test results show significant negative abnormal returns at t+1 and t+2, suggesting that the adverse market response intensified in the days following the announcement. In contrast, abnormal returns at t+3 are not statistically significant, implying that the immediate shock began to dissipate by the third day after the event. The cumulative abnormal return CAR (0,3) is significantly negative, confirming that the initial tariff announcement had a persistent negative impact on ASEAN stock markets over the event window.</w:t>
      </w:r>
    </w:p>
    <w:p w14:paraId="0F496929" w14:textId="77777777" w:rsidR="00AD2949" w:rsidRDefault="00AD2949" w:rsidP="00AA552B">
      <w:pPr>
        <w:ind w:firstLine="851"/>
        <w:jc w:val="both"/>
        <w:rPr>
          <w:rFonts w:ascii="Garamond" w:hAnsi="Garamond"/>
        </w:rPr>
      </w:pPr>
    </w:p>
    <w:p w14:paraId="601D6BC9" w14:textId="5E37EA8C" w:rsidR="00DE757B" w:rsidRDefault="00DE757B" w:rsidP="00AD2949">
      <w:pPr>
        <w:spacing w:after="160"/>
        <w:contextualSpacing/>
        <w:jc w:val="center"/>
        <w:rPr>
          <w:rFonts w:ascii="Garamond" w:hAnsi="Garamond"/>
          <w:b/>
          <w:bCs/>
        </w:rPr>
      </w:pPr>
      <w:r w:rsidRPr="00492D4C">
        <w:rPr>
          <w:rFonts w:ascii="Garamond" w:hAnsi="Garamond"/>
          <w:b/>
          <w:bCs/>
        </w:rPr>
        <w:t xml:space="preserve">Table </w:t>
      </w:r>
      <w:r w:rsidR="00247575">
        <w:rPr>
          <w:rFonts w:ascii="Garamond" w:hAnsi="Garamond"/>
          <w:b/>
          <w:bCs/>
        </w:rPr>
        <w:t>X</w:t>
      </w:r>
      <w:r w:rsidRPr="00492D4C">
        <w:rPr>
          <w:rFonts w:ascii="Garamond" w:hAnsi="Garamond"/>
          <w:b/>
          <w:bCs/>
        </w:rPr>
        <w:t>.</w:t>
      </w:r>
      <w:r>
        <w:rPr>
          <w:rFonts w:ascii="Garamond" w:hAnsi="Garamond"/>
          <w:b/>
          <w:bCs/>
        </w:rPr>
        <w:t xml:space="preserve"> </w:t>
      </w:r>
      <w:r w:rsidR="00AD2949" w:rsidRPr="00AD2949">
        <w:rPr>
          <w:rFonts w:ascii="Garamond" w:hAnsi="Garamond"/>
          <w:b/>
          <w:bCs/>
        </w:rPr>
        <w:t>Hypothesis Test Results for Event 2 (Tariff Pause Announcement)</w:t>
      </w:r>
    </w:p>
    <w:p w14:paraId="2E8A8EFA" w14:textId="77777777" w:rsidR="00AD2949" w:rsidRDefault="00AD2949" w:rsidP="00AD2949">
      <w:pPr>
        <w:spacing w:after="160"/>
        <w:contextualSpacing/>
        <w:jc w:val="center"/>
        <w:rPr>
          <w:rFonts w:ascii="Garamond" w:hAnsi="Garamond"/>
          <w:b/>
          <w:bCs/>
        </w:rPr>
      </w:pPr>
    </w:p>
    <w:tbl>
      <w:tblPr>
        <w:tblStyle w:val="PlainTable1"/>
        <w:tblW w:w="0" w:type="auto"/>
        <w:jc w:val="center"/>
        <w:tblLook w:val="04A0" w:firstRow="1" w:lastRow="0" w:firstColumn="1" w:lastColumn="0" w:noHBand="0" w:noVBand="1"/>
      </w:tblPr>
      <w:tblGrid>
        <w:gridCol w:w="1054"/>
        <w:gridCol w:w="3001"/>
        <w:gridCol w:w="837"/>
        <w:gridCol w:w="1395"/>
      </w:tblGrid>
      <w:tr w:rsidR="00CC3531" w:rsidRPr="00AD2949" w14:paraId="51F4899F" w14:textId="77777777" w:rsidTr="006A44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ECB90B" w14:textId="77777777" w:rsidR="00CC3531" w:rsidRPr="00AD2949" w:rsidRDefault="00CC3531" w:rsidP="006A44E8">
            <w:pPr>
              <w:spacing w:after="160"/>
              <w:contextualSpacing/>
              <w:jc w:val="both"/>
              <w:rPr>
                <w:rFonts w:ascii="Garamond" w:hAnsi="Garamond"/>
                <w:sz w:val="20"/>
                <w:szCs w:val="20"/>
              </w:rPr>
            </w:pPr>
            <w:r w:rsidRPr="00AD2949">
              <w:rPr>
                <w:rFonts w:ascii="Garamond" w:hAnsi="Garamond"/>
                <w:sz w:val="20"/>
                <w:szCs w:val="20"/>
              </w:rPr>
              <w:t>Day</w:t>
            </w:r>
          </w:p>
        </w:tc>
        <w:tc>
          <w:tcPr>
            <w:tcW w:w="0" w:type="auto"/>
            <w:hideMark/>
          </w:tcPr>
          <w:p w14:paraId="5583AB2B" w14:textId="77777777" w:rsidR="00CC3531" w:rsidRPr="00AD2949" w:rsidRDefault="00CC3531"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test</w:t>
            </w:r>
          </w:p>
        </w:tc>
        <w:tc>
          <w:tcPr>
            <w:tcW w:w="0" w:type="auto"/>
            <w:hideMark/>
          </w:tcPr>
          <w:p w14:paraId="374A7819" w14:textId="77777777" w:rsidR="00CC3531" w:rsidRPr="00AD2949" w:rsidRDefault="00CC3531"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p-value</w:t>
            </w:r>
          </w:p>
        </w:tc>
        <w:tc>
          <w:tcPr>
            <w:tcW w:w="0" w:type="auto"/>
          </w:tcPr>
          <w:p w14:paraId="3EEE2B01" w14:textId="77777777" w:rsidR="00CC3531" w:rsidRPr="00AD2949" w:rsidRDefault="00CC3531"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Result</w:t>
            </w:r>
          </w:p>
        </w:tc>
      </w:tr>
      <w:tr w:rsidR="00CC3531" w:rsidRPr="00AD2949" w14:paraId="580A432A"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5084CF" w14:textId="77777777" w:rsidR="00CC3531" w:rsidRPr="00AD2949" w:rsidRDefault="00CC3531" w:rsidP="006A44E8">
            <w:pPr>
              <w:spacing w:after="160"/>
              <w:contextualSpacing/>
              <w:jc w:val="both"/>
              <w:rPr>
                <w:rFonts w:ascii="Garamond" w:hAnsi="Garamond"/>
                <w:sz w:val="20"/>
                <w:szCs w:val="20"/>
              </w:rPr>
            </w:pPr>
            <w:r w:rsidRPr="00AD2949">
              <w:rPr>
                <w:rFonts w:ascii="Garamond" w:hAnsi="Garamond"/>
                <w:sz w:val="20"/>
                <w:szCs w:val="20"/>
              </w:rPr>
              <w:t>t0</w:t>
            </w:r>
          </w:p>
        </w:tc>
        <w:tc>
          <w:tcPr>
            <w:tcW w:w="0" w:type="auto"/>
            <w:hideMark/>
          </w:tcPr>
          <w:p w14:paraId="0503D032" w14:textId="5765E693" w:rsidR="00CC3531" w:rsidRPr="00AD2949" w:rsidRDefault="00AD2949" w:rsidP="006A44E8">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One-Sample t-Test</w:t>
            </w:r>
          </w:p>
        </w:tc>
        <w:tc>
          <w:tcPr>
            <w:tcW w:w="0" w:type="auto"/>
            <w:hideMark/>
          </w:tcPr>
          <w:p w14:paraId="7E56BD37" w14:textId="12B09DC0" w:rsidR="00CC3531" w:rsidRPr="00AD2949" w:rsidRDefault="00CC3531" w:rsidP="006A44E8">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0,002</w:t>
            </w:r>
          </w:p>
        </w:tc>
        <w:tc>
          <w:tcPr>
            <w:tcW w:w="0" w:type="auto"/>
          </w:tcPr>
          <w:p w14:paraId="60A5E9E1" w14:textId="77777777" w:rsidR="00CC3531" w:rsidRPr="00AD2949" w:rsidRDefault="00CC3531" w:rsidP="006A44E8">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Significant</w:t>
            </w:r>
          </w:p>
        </w:tc>
      </w:tr>
      <w:tr w:rsidR="00AD2949" w:rsidRPr="00AD2949" w14:paraId="0E99144E"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BF87B7" w14:textId="77777777" w:rsidR="00AD2949" w:rsidRPr="00AD2949" w:rsidRDefault="00AD2949" w:rsidP="00AD2949">
            <w:pPr>
              <w:spacing w:after="160"/>
              <w:contextualSpacing/>
              <w:jc w:val="both"/>
              <w:rPr>
                <w:rFonts w:ascii="Garamond" w:hAnsi="Garamond"/>
                <w:sz w:val="20"/>
                <w:szCs w:val="20"/>
              </w:rPr>
            </w:pPr>
            <w:r w:rsidRPr="00AD2949">
              <w:rPr>
                <w:rFonts w:ascii="Garamond" w:hAnsi="Garamond"/>
                <w:sz w:val="20"/>
                <w:szCs w:val="20"/>
              </w:rPr>
              <w:t>t+1</w:t>
            </w:r>
          </w:p>
        </w:tc>
        <w:tc>
          <w:tcPr>
            <w:tcW w:w="0" w:type="auto"/>
            <w:hideMark/>
          </w:tcPr>
          <w:p w14:paraId="7AC628B5" w14:textId="68F94EC8" w:rsidR="00AD2949" w:rsidRPr="00AD2949" w:rsidRDefault="00AD2949" w:rsidP="00AD2949">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One-Sample Wilcoxon Signed Rank</w:t>
            </w:r>
          </w:p>
        </w:tc>
        <w:tc>
          <w:tcPr>
            <w:tcW w:w="0" w:type="auto"/>
            <w:hideMark/>
          </w:tcPr>
          <w:p w14:paraId="1F148E8F" w14:textId="58BFADBD" w:rsidR="00AD2949" w:rsidRPr="00AD2949" w:rsidRDefault="00AD2949" w:rsidP="00AD2949">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0,753</w:t>
            </w:r>
          </w:p>
        </w:tc>
        <w:tc>
          <w:tcPr>
            <w:tcW w:w="0" w:type="auto"/>
          </w:tcPr>
          <w:p w14:paraId="72ADBF84" w14:textId="63E3F4A9" w:rsidR="00AD2949" w:rsidRPr="00AD2949" w:rsidRDefault="00AD2949" w:rsidP="00AD2949">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Not Significant</w:t>
            </w:r>
          </w:p>
        </w:tc>
      </w:tr>
      <w:tr w:rsidR="00AD2949" w:rsidRPr="00AD2949" w14:paraId="2579212F"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1ACB6CD" w14:textId="77777777" w:rsidR="00AD2949" w:rsidRPr="00AD2949" w:rsidRDefault="00AD2949" w:rsidP="00AD2949">
            <w:pPr>
              <w:spacing w:after="160"/>
              <w:contextualSpacing/>
              <w:jc w:val="both"/>
              <w:rPr>
                <w:rFonts w:ascii="Garamond" w:hAnsi="Garamond"/>
                <w:sz w:val="20"/>
                <w:szCs w:val="20"/>
              </w:rPr>
            </w:pPr>
            <w:r w:rsidRPr="00AD2949">
              <w:rPr>
                <w:rFonts w:ascii="Garamond" w:hAnsi="Garamond"/>
                <w:sz w:val="20"/>
                <w:szCs w:val="20"/>
              </w:rPr>
              <w:t>t+2</w:t>
            </w:r>
          </w:p>
        </w:tc>
        <w:tc>
          <w:tcPr>
            <w:tcW w:w="0" w:type="auto"/>
          </w:tcPr>
          <w:p w14:paraId="79ED8E5E" w14:textId="77777777" w:rsidR="00AD2949" w:rsidRPr="00AD2949" w:rsidRDefault="00AD2949" w:rsidP="00AD294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One-Sample t-Test</w:t>
            </w:r>
          </w:p>
        </w:tc>
        <w:tc>
          <w:tcPr>
            <w:tcW w:w="0" w:type="auto"/>
          </w:tcPr>
          <w:p w14:paraId="297B9952" w14:textId="4FE4A562" w:rsidR="00AD2949" w:rsidRPr="00AD2949" w:rsidRDefault="00AD2949" w:rsidP="00AD294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&lt;0,001</w:t>
            </w:r>
          </w:p>
        </w:tc>
        <w:tc>
          <w:tcPr>
            <w:tcW w:w="0" w:type="auto"/>
          </w:tcPr>
          <w:p w14:paraId="05B5AB4B" w14:textId="77777777" w:rsidR="00AD2949" w:rsidRPr="00AD2949" w:rsidRDefault="00AD2949" w:rsidP="00AD294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Significant</w:t>
            </w:r>
          </w:p>
        </w:tc>
      </w:tr>
      <w:tr w:rsidR="00AD2949" w:rsidRPr="00AD2949" w14:paraId="03CC447B"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2FABFBF" w14:textId="77777777" w:rsidR="00AD2949" w:rsidRPr="00AD2949" w:rsidRDefault="00AD2949" w:rsidP="00AD2949">
            <w:pPr>
              <w:spacing w:after="160"/>
              <w:contextualSpacing/>
              <w:jc w:val="both"/>
              <w:rPr>
                <w:rFonts w:ascii="Garamond" w:hAnsi="Garamond"/>
                <w:sz w:val="20"/>
                <w:szCs w:val="20"/>
              </w:rPr>
            </w:pPr>
            <w:r w:rsidRPr="00AD2949">
              <w:rPr>
                <w:rFonts w:ascii="Garamond" w:hAnsi="Garamond"/>
                <w:sz w:val="20"/>
                <w:szCs w:val="20"/>
              </w:rPr>
              <w:lastRenderedPageBreak/>
              <w:t>t+3</w:t>
            </w:r>
          </w:p>
        </w:tc>
        <w:tc>
          <w:tcPr>
            <w:tcW w:w="0" w:type="auto"/>
          </w:tcPr>
          <w:p w14:paraId="589ADAA7" w14:textId="77777777" w:rsidR="00AD2949" w:rsidRPr="00AD2949" w:rsidRDefault="00AD2949" w:rsidP="00AD2949">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One-Sample t-Test</w:t>
            </w:r>
          </w:p>
        </w:tc>
        <w:tc>
          <w:tcPr>
            <w:tcW w:w="0" w:type="auto"/>
          </w:tcPr>
          <w:p w14:paraId="47C31175" w14:textId="3120CC50" w:rsidR="00AD2949" w:rsidRPr="00AD2949" w:rsidRDefault="00AD2949" w:rsidP="00AD2949">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0,201</w:t>
            </w:r>
          </w:p>
        </w:tc>
        <w:tc>
          <w:tcPr>
            <w:tcW w:w="0" w:type="auto"/>
          </w:tcPr>
          <w:p w14:paraId="218198B6" w14:textId="77777777" w:rsidR="00AD2949" w:rsidRPr="00AD2949" w:rsidRDefault="00AD2949" w:rsidP="00AD2949">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Not Significant</w:t>
            </w:r>
          </w:p>
        </w:tc>
      </w:tr>
      <w:tr w:rsidR="00AD2949" w:rsidRPr="00AD2949" w14:paraId="67CB5B25"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E6BC54D" w14:textId="77777777" w:rsidR="00AD2949" w:rsidRPr="00AD2949" w:rsidRDefault="00AD2949" w:rsidP="00AD2949">
            <w:pPr>
              <w:spacing w:after="160"/>
              <w:contextualSpacing/>
              <w:jc w:val="both"/>
              <w:rPr>
                <w:rFonts w:ascii="Garamond" w:hAnsi="Garamond"/>
                <w:sz w:val="20"/>
                <w:szCs w:val="20"/>
              </w:rPr>
            </w:pPr>
            <w:r w:rsidRPr="00AD2949">
              <w:rPr>
                <w:rFonts w:ascii="Garamond" w:hAnsi="Garamond"/>
                <w:sz w:val="20"/>
                <w:szCs w:val="20"/>
              </w:rPr>
              <w:t>CAR (0,3)</w:t>
            </w:r>
          </w:p>
        </w:tc>
        <w:tc>
          <w:tcPr>
            <w:tcW w:w="0" w:type="auto"/>
          </w:tcPr>
          <w:p w14:paraId="177CF1AB" w14:textId="77777777" w:rsidR="00AD2949" w:rsidRPr="00AD2949" w:rsidRDefault="00AD2949" w:rsidP="00AD294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One-Sample t-Test</w:t>
            </w:r>
          </w:p>
        </w:tc>
        <w:tc>
          <w:tcPr>
            <w:tcW w:w="0" w:type="auto"/>
          </w:tcPr>
          <w:p w14:paraId="2F4FE6AB" w14:textId="20D0F408" w:rsidR="00AD2949" w:rsidRPr="00AD2949" w:rsidRDefault="00AD2949" w:rsidP="00AD294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0,002</w:t>
            </w:r>
          </w:p>
        </w:tc>
        <w:tc>
          <w:tcPr>
            <w:tcW w:w="0" w:type="auto"/>
          </w:tcPr>
          <w:p w14:paraId="2750F4C8" w14:textId="77777777" w:rsidR="00AD2949" w:rsidRPr="00AD2949" w:rsidRDefault="00AD2949" w:rsidP="00AD294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Significant</w:t>
            </w:r>
          </w:p>
        </w:tc>
      </w:tr>
    </w:tbl>
    <w:p w14:paraId="25BC433C" w14:textId="77777777" w:rsidR="00DE757B" w:rsidRPr="00492D4C" w:rsidRDefault="00DE757B" w:rsidP="00DE757B">
      <w:pPr>
        <w:spacing w:after="160"/>
        <w:contextualSpacing/>
        <w:rPr>
          <w:rFonts w:ascii="Garamond" w:hAnsi="Garamond"/>
          <w:b/>
          <w:bCs/>
        </w:rPr>
      </w:pPr>
    </w:p>
    <w:p w14:paraId="426C22F2" w14:textId="77777777" w:rsidR="00DE757B" w:rsidRDefault="00DE757B" w:rsidP="00DE757B">
      <w:pPr>
        <w:jc w:val="both"/>
        <w:rPr>
          <w:rFonts w:ascii="Garamond" w:hAnsi="Garamond"/>
          <w:i/>
          <w:iCs/>
        </w:rPr>
      </w:pPr>
      <w:r w:rsidRPr="00492D4C">
        <w:rPr>
          <w:rFonts w:ascii="Garamond" w:hAnsi="Garamond"/>
          <w:b/>
          <w:bCs/>
          <w:i/>
          <w:iCs/>
        </w:rPr>
        <w:t>Source:</w:t>
      </w:r>
      <w:r w:rsidRPr="00492D4C">
        <w:rPr>
          <w:rFonts w:ascii="Garamond" w:hAnsi="Garamond"/>
          <w:i/>
          <w:iCs/>
        </w:rPr>
        <w:t xml:space="preserve"> </w:t>
      </w:r>
      <w:r w:rsidRPr="003F3A81">
        <w:rPr>
          <w:rFonts w:ascii="Garamond" w:hAnsi="Garamond"/>
          <w:i/>
          <w:iCs/>
        </w:rPr>
        <w:t>Processed by the author</w:t>
      </w:r>
      <w:r>
        <w:rPr>
          <w:rFonts w:ascii="Garamond" w:hAnsi="Garamond"/>
          <w:i/>
          <w:iCs/>
        </w:rPr>
        <w:t xml:space="preserve"> (2025)</w:t>
      </w:r>
    </w:p>
    <w:p w14:paraId="3CD4BC3D" w14:textId="5FD8DFB2" w:rsidR="00AD2949" w:rsidRDefault="00BD1CB9" w:rsidP="00AD2949">
      <w:pPr>
        <w:ind w:firstLine="851"/>
        <w:jc w:val="both"/>
        <w:rPr>
          <w:rFonts w:ascii="Garamond" w:hAnsi="Garamond"/>
        </w:rPr>
      </w:pPr>
      <w:r w:rsidRPr="00BD1CB9">
        <w:rPr>
          <w:rFonts w:ascii="Garamond" w:hAnsi="Garamond"/>
        </w:rPr>
        <w:t xml:space="preserve">Based on the hypothesis testing results, abnormal returns at t0 are statistically significant and positive (p = 0.002 &lt; 0.05), indicating an immediate </w:t>
      </w:r>
      <w:proofErr w:type="spellStart"/>
      <w:r w:rsidRPr="00BD1CB9">
        <w:rPr>
          <w:rFonts w:ascii="Garamond" w:hAnsi="Garamond"/>
        </w:rPr>
        <w:t>favorable</w:t>
      </w:r>
      <w:proofErr w:type="spellEnd"/>
      <w:r w:rsidRPr="00BD1CB9">
        <w:rPr>
          <w:rFonts w:ascii="Garamond" w:hAnsi="Garamond"/>
        </w:rPr>
        <w:t xml:space="preserve"> market reaction to the U.S. tariff pause announcement. At t+1, the abnormal return is not significant (p = 0.753), suggesting a short-term correction following the initial response. At t+2, the one-sample t-test shows a highly significant positive abnormal return (p &lt; 0.001), indicating a renewed market response as investors further processed the information. At t+3, the abnormal return is not statistically significant (p = 0.201), implying that the market reaction began to stabilize. The cumulative abnormal return CAR (0,3) is positive and statistically significant (p = 0.002), confirming that the tariff pause announcement generated a significant overall positive impact on ASEAN stock markets. Therefore, the null hypothesis (H</w:t>
      </w:r>
      <w:r w:rsidRPr="00BD1CB9">
        <w:rPr>
          <w:rFonts w:ascii="Cambria Math" w:hAnsi="Cambria Math" w:cs="Cambria Math"/>
        </w:rPr>
        <w:t>₀</w:t>
      </w:r>
      <w:r w:rsidRPr="00BD1CB9">
        <w:rPr>
          <w:rFonts w:ascii="Garamond" w:hAnsi="Garamond"/>
        </w:rPr>
        <w:t>) is rejected, indicating the presence of abnormal returns around the announcement period.</w:t>
      </w:r>
    </w:p>
    <w:p w14:paraId="58DEBB89" w14:textId="77777777" w:rsidR="00DE757B" w:rsidRDefault="00DE757B" w:rsidP="00DE757B">
      <w:pPr>
        <w:jc w:val="both"/>
        <w:rPr>
          <w:rFonts w:ascii="Garamond" w:hAnsi="Garamond"/>
          <w:i/>
          <w:iCs/>
        </w:rPr>
      </w:pPr>
    </w:p>
    <w:p w14:paraId="22E7FAEA" w14:textId="2EB8CC74" w:rsidR="00DE757B" w:rsidRDefault="00DE757B" w:rsidP="00AD2949">
      <w:pPr>
        <w:spacing w:after="160"/>
        <w:contextualSpacing/>
        <w:jc w:val="center"/>
        <w:rPr>
          <w:rFonts w:ascii="Garamond" w:hAnsi="Garamond"/>
          <w:b/>
          <w:bCs/>
        </w:rPr>
      </w:pPr>
      <w:r w:rsidRPr="00492D4C">
        <w:rPr>
          <w:rFonts w:ascii="Garamond" w:hAnsi="Garamond"/>
          <w:b/>
          <w:bCs/>
        </w:rPr>
        <w:t xml:space="preserve">Table </w:t>
      </w:r>
      <w:r w:rsidR="00247575">
        <w:rPr>
          <w:rFonts w:ascii="Garamond" w:hAnsi="Garamond"/>
          <w:b/>
          <w:bCs/>
        </w:rPr>
        <w:t>XI</w:t>
      </w:r>
      <w:r w:rsidRPr="00492D4C">
        <w:rPr>
          <w:rFonts w:ascii="Garamond" w:hAnsi="Garamond"/>
          <w:b/>
          <w:bCs/>
        </w:rPr>
        <w:t>.</w:t>
      </w:r>
      <w:r>
        <w:rPr>
          <w:rFonts w:ascii="Garamond" w:hAnsi="Garamond"/>
          <w:b/>
          <w:bCs/>
        </w:rPr>
        <w:t xml:space="preserve"> </w:t>
      </w:r>
      <w:r w:rsidR="00AD2949" w:rsidRPr="00AD2949">
        <w:rPr>
          <w:rFonts w:ascii="Garamond" w:hAnsi="Garamond"/>
          <w:b/>
          <w:bCs/>
        </w:rPr>
        <w:t>Hypothesis Test Results for Event 3 (Tariff Adjustment Announcement)</w:t>
      </w:r>
    </w:p>
    <w:p w14:paraId="3026C3FB" w14:textId="77777777" w:rsidR="00AD2949" w:rsidRDefault="00AD2949" w:rsidP="00AD2949">
      <w:pPr>
        <w:spacing w:after="160"/>
        <w:contextualSpacing/>
        <w:jc w:val="center"/>
        <w:rPr>
          <w:rFonts w:ascii="Garamond" w:hAnsi="Garamond"/>
          <w:b/>
          <w:bCs/>
        </w:rPr>
      </w:pPr>
    </w:p>
    <w:tbl>
      <w:tblPr>
        <w:tblStyle w:val="PlainTable1"/>
        <w:tblW w:w="0" w:type="auto"/>
        <w:jc w:val="center"/>
        <w:tblLook w:val="04A0" w:firstRow="1" w:lastRow="0" w:firstColumn="1" w:lastColumn="0" w:noHBand="0" w:noVBand="1"/>
      </w:tblPr>
      <w:tblGrid>
        <w:gridCol w:w="1054"/>
        <w:gridCol w:w="3001"/>
        <w:gridCol w:w="837"/>
        <w:gridCol w:w="1395"/>
      </w:tblGrid>
      <w:tr w:rsidR="00CC3531" w:rsidRPr="00AD2949" w14:paraId="6F4287BA" w14:textId="77777777" w:rsidTr="006A44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748702" w14:textId="77777777" w:rsidR="00CC3531" w:rsidRPr="00AD2949" w:rsidRDefault="00CC3531" w:rsidP="006A44E8">
            <w:pPr>
              <w:spacing w:after="160"/>
              <w:contextualSpacing/>
              <w:jc w:val="both"/>
              <w:rPr>
                <w:rFonts w:ascii="Garamond" w:hAnsi="Garamond"/>
                <w:sz w:val="20"/>
                <w:szCs w:val="20"/>
              </w:rPr>
            </w:pPr>
            <w:r w:rsidRPr="00AD2949">
              <w:rPr>
                <w:rFonts w:ascii="Garamond" w:hAnsi="Garamond"/>
                <w:sz w:val="20"/>
                <w:szCs w:val="20"/>
              </w:rPr>
              <w:t>Day</w:t>
            </w:r>
          </w:p>
        </w:tc>
        <w:tc>
          <w:tcPr>
            <w:tcW w:w="0" w:type="auto"/>
            <w:hideMark/>
          </w:tcPr>
          <w:p w14:paraId="346C5F7F" w14:textId="77777777" w:rsidR="00CC3531" w:rsidRPr="00AD2949" w:rsidRDefault="00CC3531"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test</w:t>
            </w:r>
          </w:p>
        </w:tc>
        <w:tc>
          <w:tcPr>
            <w:tcW w:w="0" w:type="auto"/>
            <w:hideMark/>
          </w:tcPr>
          <w:p w14:paraId="3C986A12" w14:textId="77777777" w:rsidR="00CC3531" w:rsidRPr="00AD2949" w:rsidRDefault="00CC3531"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p-value</w:t>
            </w:r>
          </w:p>
        </w:tc>
        <w:tc>
          <w:tcPr>
            <w:tcW w:w="0" w:type="auto"/>
          </w:tcPr>
          <w:p w14:paraId="3E2A13B3" w14:textId="77777777" w:rsidR="00CC3531" w:rsidRPr="00AD2949" w:rsidRDefault="00CC3531" w:rsidP="006A44E8">
            <w:pPr>
              <w:spacing w:after="160"/>
              <w:contextualSpacing/>
              <w:jc w:val="both"/>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Result</w:t>
            </w:r>
          </w:p>
        </w:tc>
      </w:tr>
      <w:tr w:rsidR="00833609" w:rsidRPr="00AD2949" w14:paraId="50C38AAF"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5DD245" w14:textId="77777777" w:rsidR="00833609" w:rsidRPr="00AD2949" w:rsidRDefault="00833609" w:rsidP="00833609">
            <w:pPr>
              <w:spacing w:after="160"/>
              <w:contextualSpacing/>
              <w:jc w:val="both"/>
              <w:rPr>
                <w:rFonts w:ascii="Garamond" w:hAnsi="Garamond"/>
                <w:sz w:val="20"/>
                <w:szCs w:val="20"/>
              </w:rPr>
            </w:pPr>
            <w:r w:rsidRPr="00AD2949">
              <w:rPr>
                <w:rFonts w:ascii="Garamond" w:hAnsi="Garamond"/>
                <w:sz w:val="20"/>
                <w:szCs w:val="20"/>
              </w:rPr>
              <w:t>t0</w:t>
            </w:r>
          </w:p>
        </w:tc>
        <w:tc>
          <w:tcPr>
            <w:tcW w:w="0" w:type="auto"/>
            <w:hideMark/>
          </w:tcPr>
          <w:p w14:paraId="385889E4" w14:textId="55036675" w:rsidR="00833609" w:rsidRPr="00AD2949" w:rsidRDefault="00AD2949" w:rsidP="0083360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One-Sample t-Test</w:t>
            </w:r>
          </w:p>
        </w:tc>
        <w:tc>
          <w:tcPr>
            <w:tcW w:w="0" w:type="auto"/>
            <w:hideMark/>
          </w:tcPr>
          <w:p w14:paraId="37AECE17" w14:textId="3101A496" w:rsidR="00833609" w:rsidRPr="00AD2949" w:rsidRDefault="00833609" w:rsidP="0083360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0,897</w:t>
            </w:r>
          </w:p>
        </w:tc>
        <w:tc>
          <w:tcPr>
            <w:tcW w:w="0" w:type="auto"/>
          </w:tcPr>
          <w:p w14:paraId="48250F2A" w14:textId="3016850A" w:rsidR="00833609" w:rsidRPr="00AD2949" w:rsidRDefault="00AD2949" w:rsidP="0083360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Not Significant</w:t>
            </w:r>
          </w:p>
        </w:tc>
      </w:tr>
      <w:tr w:rsidR="00833609" w:rsidRPr="00AD2949" w14:paraId="3D2C42C2"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AC3FE6" w14:textId="77777777" w:rsidR="00833609" w:rsidRPr="00AD2949" w:rsidRDefault="00833609" w:rsidP="00833609">
            <w:pPr>
              <w:spacing w:after="160"/>
              <w:contextualSpacing/>
              <w:jc w:val="both"/>
              <w:rPr>
                <w:rFonts w:ascii="Garamond" w:hAnsi="Garamond"/>
                <w:sz w:val="20"/>
                <w:szCs w:val="20"/>
              </w:rPr>
            </w:pPr>
            <w:r w:rsidRPr="00AD2949">
              <w:rPr>
                <w:rFonts w:ascii="Garamond" w:hAnsi="Garamond"/>
                <w:sz w:val="20"/>
                <w:szCs w:val="20"/>
              </w:rPr>
              <w:t>t+1</w:t>
            </w:r>
          </w:p>
        </w:tc>
        <w:tc>
          <w:tcPr>
            <w:tcW w:w="0" w:type="auto"/>
            <w:hideMark/>
          </w:tcPr>
          <w:p w14:paraId="031C6314" w14:textId="77777777" w:rsidR="00833609" w:rsidRPr="00AD2949" w:rsidRDefault="00833609" w:rsidP="00833609">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One-Sample t-Test</w:t>
            </w:r>
          </w:p>
        </w:tc>
        <w:tc>
          <w:tcPr>
            <w:tcW w:w="0" w:type="auto"/>
            <w:hideMark/>
          </w:tcPr>
          <w:p w14:paraId="7311A7F1" w14:textId="3F5AD25B" w:rsidR="00833609" w:rsidRPr="00AD2949" w:rsidRDefault="00833609" w:rsidP="00833609">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0,205</w:t>
            </w:r>
          </w:p>
        </w:tc>
        <w:tc>
          <w:tcPr>
            <w:tcW w:w="0" w:type="auto"/>
          </w:tcPr>
          <w:p w14:paraId="0764B2CE" w14:textId="292666C6" w:rsidR="00833609" w:rsidRPr="00AD2949" w:rsidRDefault="00AD2949" w:rsidP="00833609">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Not Significant</w:t>
            </w:r>
          </w:p>
        </w:tc>
      </w:tr>
      <w:tr w:rsidR="00833609" w:rsidRPr="00AD2949" w14:paraId="1C550506"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609CF9C" w14:textId="77777777" w:rsidR="00833609" w:rsidRPr="00AD2949" w:rsidRDefault="00833609" w:rsidP="00833609">
            <w:pPr>
              <w:spacing w:after="160"/>
              <w:contextualSpacing/>
              <w:jc w:val="both"/>
              <w:rPr>
                <w:rFonts w:ascii="Garamond" w:hAnsi="Garamond"/>
                <w:sz w:val="20"/>
                <w:szCs w:val="20"/>
              </w:rPr>
            </w:pPr>
            <w:r w:rsidRPr="00AD2949">
              <w:rPr>
                <w:rFonts w:ascii="Garamond" w:hAnsi="Garamond"/>
                <w:sz w:val="20"/>
                <w:szCs w:val="20"/>
              </w:rPr>
              <w:t>t+2</w:t>
            </w:r>
          </w:p>
        </w:tc>
        <w:tc>
          <w:tcPr>
            <w:tcW w:w="0" w:type="auto"/>
          </w:tcPr>
          <w:p w14:paraId="216E8A49" w14:textId="77777777" w:rsidR="00833609" w:rsidRPr="00AD2949" w:rsidRDefault="00833609" w:rsidP="0083360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One-Sample t-Test</w:t>
            </w:r>
          </w:p>
        </w:tc>
        <w:tc>
          <w:tcPr>
            <w:tcW w:w="0" w:type="auto"/>
          </w:tcPr>
          <w:p w14:paraId="28BBDA9A" w14:textId="5C0AD1AA" w:rsidR="00833609" w:rsidRPr="00AD2949" w:rsidRDefault="00833609" w:rsidP="0083360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0,015</w:t>
            </w:r>
          </w:p>
        </w:tc>
        <w:tc>
          <w:tcPr>
            <w:tcW w:w="0" w:type="auto"/>
          </w:tcPr>
          <w:p w14:paraId="49BE15BE" w14:textId="77777777" w:rsidR="00833609" w:rsidRPr="00AD2949" w:rsidRDefault="00833609" w:rsidP="0083360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Significant</w:t>
            </w:r>
          </w:p>
        </w:tc>
      </w:tr>
      <w:tr w:rsidR="00AD2949" w:rsidRPr="00AD2949" w14:paraId="1BC7DE2E" w14:textId="77777777" w:rsidTr="006A44E8">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4AE7958" w14:textId="77777777" w:rsidR="00AD2949" w:rsidRPr="00AD2949" w:rsidRDefault="00AD2949" w:rsidP="00AD2949">
            <w:pPr>
              <w:spacing w:after="160"/>
              <w:contextualSpacing/>
              <w:jc w:val="both"/>
              <w:rPr>
                <w:rFonts w:ascii="Garamond" w:hAnsi="Garamond"/>
                <w:sz w:val="20"/>
                <w:szCs w:val="20"/>
              </w:rPr>
            </w:pPr>
            <w:r w:rsidRPr="00AD2949">
              <w:rPr>
                <w:rFonts w:ascii="Garamond" w:hAnsi="Garamond"/>
                <w:sz w:val="20"/>
                <w:szCs w:val="20"/>
              </w:rPr>
              <w:t>t+3</w:t>
            </w:r>
          </w:p>
        </w:tc>
        <w:tc>
          <w:tcPr>
            <w:tcW w:w="0" w:type="auto"/>
          </w:tcPr>
          <w:p w14:paraId="3471E75B" w14:textId="698BEA21" w:rsidR="00AD2949" w:rsidRPr="00AD2949" w:rsidRDefault="00AD2949" w:rsidP="00AD2949">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One-Sample Wilcoxon Signed Rank</w:t>
            </w:r>
          </w:p>
        </w:tc>
        <w:tc>
          <w:tcPr>
            <w:tcW w:w="0" w:type="auto"/>
          </w:tcPr>
          <w:p w14:paraId="10C5655A" w14:textId="12AE8462" w:rsidR="00AD2949" w:rsidRPr="00AD2949" w:rsidRDefault="00AD2949" w:rsidP="00AD2949">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0,046</w:t>
            </w:r>
          </w:p>
        </w:tc>
        <w:tc>
          <w:tcPr>
            <w:tcW w:w="0" w:type="auto"/>
          </w:tcPr>
          <w:p w14:paraId="7FCDF89F" w14:textId="3E23575E" w:rsidR="00AD2949" w:rsidRPr="00AD2949" w:rsidRDefault="00AD2949" w:rsidP="00AD2949">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AD2949">
              <w:rPr>
                <w:rFonts w:ascii="Garamond" w:hAnsi="Garamond"/>
                <w:sz w:val="20"/>
                <w:szCs w:val="20"/>
              </w:rPr>
              <w:t>Significant</w:t>
            </w:r>
          </w:p>
        </w:tc>
      </w:tr>
      <w:tr w:rsidR="00AD2949" w:rsidRPr="00AD2949" w14:paraId="7CBD8D41" w14:textId="77777777" w:rsidTr="006A4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DA34C46" w14:textId="77777777" w:rsidR="00AD2949" w:rsidRPr="00AD2949" w:rsidRDefault="00AD2949" w:rsidP="00AD2949">
            <w:pPr>
              <w:spacing w:after="160"/>
              <w:contextualSpacing/>
              <w:jc w:val="both"/>
              <w:rPr>
                <w:rFonts w:ascii="Garamond" w:hAnsi="Garamond"/>
                <w:sz w:val="20"/>
                <w:szCs w:val="20"/>
              </w:rPr>
            </w:pPr>
            <w:r w:rsidRPr="00AD2949">
              <w:rPr>
                <w:rFonts w:ascii="Garamond" w:hAnsi="Garamond"/>
                <w:sz w:val="20"/>
                <w:szCs w:val="20"/>
              </w:rPr>
              <w:t>CAR (0,3)</w:t>
            </w:r>
          </w:p>
        </w:tc>
        <w:tc>
          <w:tcPr>
            <w:tcW w:w="0" w:type="auto"/>
          </w:tcPr>
          <w:p w14:paraId="5CB1F0CB" w14:textId="77777777" w:rsidR="00AD2949" w:rsidRPr="00AD2949" w:rsidRDefault="00AD2949" w:rsidP="00AD294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One-Sample t-Test</w:t>
            </w:r>
          </w:p>
        </w:tc>
        <w:tc>
          <w:tcPr>
            <w:tcW w:w="0" w:type="auto"/>
          </w:tcPr>
          <w:p w14:paraId="316F9402" w14:textId="342D70A4" w:rsidR="00AD2949" w:rsidRPr="00AD2949" w:rsidRDefault="00AD2949" w:rsidP="00AD294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0,010</w:t>
            </w:r>
          </w:p>
        </w:tc>
        <w:tc>
          <w:tcPr>
            <w:tcW w:w="0" w:type="auto"/>
          </w:tcPr>
          <w:p w14:paraId="208DD8A9" w14:textId="77777777" w:rsidR="00AD2949" w:rsidRPr="00AD2949" w:rsidRDefault="00AD2949" w:rsidP="00AD2949">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AD2949">
              <w:rPr>
                <w:rFonts w:ascii="Garamond" w:hAnsi="Garamond"/>
                <w:sz w:val="20"/>
                <w:szCs w:val="20"/>
              </w:rPr>
              <w:t>Significant</w:t>
            </w:r>
          </w:p>
        </w:tc>
      </w:tr>
    </w:tbl>
    <w:p w14:paraId="0EA8FF2D" w14:textId="77777777" w:rsidR="00DE757B" w:rsidRPr="00492D4C" w:rsidRDefault="00DE757B" w:rsidP="00DE757B">
      <w:pPr>
        <w:spacing w:after="160"/>
        <w:contextualSpacing/>
        <w:rPr>
          <w:rFonts w:ascii="Garamond" w:hAnsi="Garamond"/>
          <w:b/>
          <w:bCs/>
        </w:rPr>
      </w:pPr>
    </w:p>
    <w:p w14:paraId="04520B3D" w14:textId="77777777" w:rsidR="00DE757B" w:rsidRDefault="00DE757B" w:rsidP="00DE757B">
      <w:pPr>
        <w:jc w:val="both"/>
        <w:rPr>
          <w:rFonts w:ascii="Garamond" w:hAnsi="Garamond"/>
          <w:i/>
          <w:iCs/>
        </w:rPr>
      </w:pPr>
      <w:r w:rsidRPr="00492D4C">
        <w:rPr>
          <w:rFonts w:ascii="Garamond" w:hAnsi="Garamond"/>
          <w:b/>
          <w:bCs/>
          <w:i/>
          <w:iCs/>
        </w:rPr>
        <w:t>Source:</w:t>
      </w:r>
      <w:r w:rsidRPr="00492D4C">
        <w:rPr>
          <w:rFonts w:ascii="Garamond" w:hAnsi="Garamond"/>
          <w:i/>
          <w:iCs/>
        </w:rPr>
        <w:t xml:space="preserve"> </w:t>
      </w:r>
      <w:r w:rsidRPr="003F3A81">
        <w:rPr>
          <w:rFonts w:ascii="Garamond" w:hAnsi="Garamond"/>
          <w:i/>
          <w:iCs/>
        </w:rPr>
        <w:t>Processed by the author</w:t>
      </w:r>
      <w:r>
        <w:rPr>
          <w:rFonts w:ascii="Garamond" w:hAnsi="Garamond"/>
          <w:i/>
          <w:iCs/>
        </w:rPr>
        <w:t xml:space="preserve"> (2025)</w:t>
      </w:r>
    </w:p>
    <w:p w14:paraId="7672E01A" w14:textId="17916664" w:rsidR="00193DFD" w:rsidRDefault="003E128E" w:rsidP="00193DFD">
      <w:pPr>
        <w:ind w:firstLine="851"/>
        <w:jc w:val="both"/>
        <w:rPr>
          <w:rFonts w:ascii="Garamond" w:hAnsi="Garamond"/>
        </w:rPr>
      </w:pPr>
      <w:r w:rsidRPr="003E128E">
        <w:rPr>
          <w:rFonts w:ascii="Garamond" w:hAnsi="Garamond"/>
        </w:rPr>
        <w:t xml:space="preserve">Based on the hypothesis testing results, abnormal returns at t0 and t+1 are not statistically significant (p = 0.897 and p = 0.205), indicating that the tariff adjustment announcement did not trigger an immediate market reaction. At t+2, the abnormal return becomes positive and statistically significant (p = 0.015), suggesting a delayed market response as investors reassessed the implications of the policy adjustment. At t+3, the abnormal return is also significant based on the Wilcoxon Signed Rank test (p = 0.046), reinforcing evidence of continued positive adjustment. The cumulative abnormal return CAR (0,3) is positive and statistically significant (p = 0.010), confirming that the tariff adjustment announcement generated a </w:t>
      </w:r>
      <w:proofErr w:type="spellStart"/>
      <w:r w:rsidRPr="003E128E">
        <w:rPr>
          <w:rFonts w:ascii="Garamond" w:hAnsi="Garamond"/>
        </w:rPr>
        <w:t>favorable</w:t>
      </w:r>
      <w:proofErr w:type="spellEnd"/>
      <w:r w:rsidRPr="003E128E">
        <w:rPr>
          <w:rFonts w:ascii="Garamond" w:hAnsi="Garamond"/>
        </w:rPr>
        <w:t xml:space="preserve"> overall impact on ASEAN stock markets. Therefore, the null hypothesis (H</w:t>
      </w:r>
      <w:r w:rsidRPr="003E128E">
        <w:rPr>
          <w:rFonts w:ascii="Cambria Math" w:hAnsi="Cambria Math" w:cs="Cambria Math"/>
        </w:rPr>
        <w:t>₀</w:t>
      </w:r>
      <w:r w:rsidRPr="003E128E">
        <w:rPr>
          <w:rFonts w:ascii="Garamond" w:hAnsi="Garamond"/>
        </w:rPr>
        <w:t>) is rejected, indicating the presence of abnormal returns around the announcement period, albeit with a delayed reaction.</w:t>
      </w:r>
    </w:p>
    <w:p w14:paraId="12B06749" w14:textId="77777777" w:rsidR="005C27B5" w:rsidRDefault="005C27B5" w:rsidP="004D5B5D">
      <w:pPr>
        <w:jc w:val="both"/>
        <w:rPr>
          <w:rFonts w:ascii="Garamond" w:hAnsi="Garamond"/>
          <w:b/>
          <w:bCs/>
        </w:rPr>
      </w:pPr>
    </w:p>
    <w:p w14:paraId="5BA7609A" w14:textId="318A6372" w:rsidR="005C27B5" w:rsidRDefault="005C27B5" w:rsidP="005C27B5">
      <w:pPr>
        <w:jc w:val="both"/>
        <w:rPr>
          <w:rFonts w:ascii="Garamond" w:hAnsi="Garamond"/>
          <w:b/>
          <w:bCs/>
        </w:rPr>
      </w:pPr>
      <w:r>
        <w:rPr>
          <w:rFonts w:ascii="Garamond" w:hAnsi="Garamond"/>
          <w:b/>
          <w:bCs/>
        </w:rPr>
        <w:t>4. 2    Discussion</w:t>
      </w:r>
    </w:p>
    <w:p w14:paraId="37C90FD3" w14:textId="77777777" w:rsidR="005C27B5" w:rsidRDefault="005C27B5" w:rsidP="004D5B5D">
      <w:pPr>
        <w:jc w:val="both"/>
        <w:rPr>
          <w:rFonts w:ascii="Garamond" w:hAnsi="Garamond"/>
          <w:b/>
          <w:bCs/>
        </w:rPr>
      </w:pPr>
    </w:p>
    <w:p w14:paraId="18FA74A4" w14:textId="09685EBB" w:rsidR="00A57B1C" w:rsidRPr="00A57B1C" w:rsidRDefault="00A57B1C" w:rsidP="00A57B1C">
      <w:pPr>
        <w:ind w:firstLine="851"/>
        <w:jc w:val="both"/>
        <w:rPr>
          <w:rFonts w:ascii="Garamond" w:hAnsi="Garamond"/>
        </w:rPr>
      </w:pPr>
      <w:r w:rsidRPr="00A57B1C">
        <w:rPr>
          <w:rFonts w:ascii="Garamond" w:hAnsi="Garamond"/>
        </w:rPr>
        <w:t>The initial tariff announcement on 2 April 2025 triggered a broad and significantly negative reaction across ASEAN stock markets. The presence of significant negative abnormal returns on t plus one, t plus two, and cumulatively over the event window indicates that the market response intensified after the announcement day rather than being fully absorbed immediately. This delayed reaction suggests that investors required additional time to reassess the economic implications of higher trade barriers, particularly regarding export competitiveness, supply chain disruptions, and potential retaliatory measures. Vietnam and Singapore experienced the largest cumulative losses, reflecting their high exposure to global trade and integration into international supply chains. These results are consistent with</w:t>
      </w:r>
      <w:r w:rsidR="00FD6A21">
        <w:rPr>
          <w:rFonts w:ascii="Garamond" w:hAnsi="Garamond"/>
        </w:rPr>
        <w:t xml:space="preserve"> </w:t>
      </w:r>
      <w:r w:rsidR="00FD6A21" w:rsidRPr="00244DE4">
        <w:rPr>
          <w:rFonts w:ascii="Garamond" w:hAnsi="Garamond"/>
          <w:color w:val="4F81BD" w:themeColor="accent1"/>
        </w:rPr>
        <w:fldChar w:fldCharType="begin"/>
      </w:r>
      <w:r w:rsidR="007754F1">
        <w:rPr>
          <w:rFonts w:ascii="Garamond" w:hAnsi="Garamond"/>
          <w:color w:val="4F81BD" w:themeColor="accent1"/>
        </w:rPr>
        <w:instrText xml:space="preserve"> ADDIN ZOTERO_ITEM CSL_CITATION {"citationID":"G14nWGmX","properties":{"formattedCitation":"(Kaczmarek et al., 2025)","plainCitation":"(Kaczmarek et al., 2025)","dontUpdate":true,"noteIndex":0},"citationItems":[{"id":7,"uris":["http://zotero.org/users/local/1Z4MS4c2/items/8P6KAR9D"],"itemData":{"id":7,"type":"article-journal","abstract":"We study initial global equity market reactions to the reciprocal tariffs announced by the U.S. President Donald Trump on April 2, 2025. Using daily returns from 67 countries, we find a sharp and widespread decline in stock prices over the four-day window following the announcement. Market reactions varied across countries. Markets with higher trade exposure and those running trade surpluses experienced larger declines, suggesting that more open economies were perceived as more vulnerable to future trade frictions. In addition, larger markets and countries with higher unemployment or inflation faced steeper losses — likely due to concerns over export competitiveness or macroeconomic fragility. In contrast, countries with stronger GDP growth were more resilient. These findings suggest that investor reactions were shaped by a combination of direct trade exposure and broader structural factors linked to long-term vulnerability.","container-title":"Finance Research Letters","DOI":"10.1016/j.frl.2025.108080","ISSN":"15446123","journalAbbreviation":"Finance Research Letters","language":"en","page":"108080","source":"DOI.org (Crossref)","title":"Tariffs announcement as a global stress test: Early stock market reactions to U.S. protectionism","title-short":"Tariffs announcement as a global stress test","volume":"85","author":[{"family":"Kaczmarek","given":"Tomasz"},{"family":"Demir","given":"Ender"},{"family":"Rouatbi","given":"Wael"},{"family":"Zaremba","given":"Adam"}],"issued":{"date-parts":[["2025",11]]}}}],"schema":"https://github.com/citation-style-language/schema/raw/master/csl-citation.json"} </w:instrText>
      </w:r>
      <w:r w:rsidR="00FD6A21" w:rsidRPr="00244DE4">
        <w:rPr>
          <w:rFonts w:ascii="Garamond" w:hAnsi="Garamond"/>
          <w:color w:val="4F81BD" w:themeColor="accent1"/>
        </w:rPr>
        <w:fldChar w:fldCharType="separate"/>
      </w:r>
      <w:r w:rsidR="00FD6A21" w:rsidRPr="00244DE4">
        <w:rPr>
          <w:rFonts w:ascii="Garamond" w:hAnsi="Garamond"/>
          <w:color w:val="4F81BD" w:themeColor="accent1"/>
        </w:rPr>
        <w:t>Kaczmarek et al. (2025)</w:t>
      </w:r>
      <w:r w:rsidR="00FD6A21" w:rsidRPr="00244DE4">
        <w:rPr>
          <w:rFonts w:ascii="Garamond" w:hAnsi="Garamond"/>
          <w:color w:val="4F81BD" w:themeColor="accent1"/>
        </w:rPr>
        <w:fldChar w:fldCharType="end"/>
      </w:r>
      <w:r w:rsidRPr="00A57B1C">
        <w:rPr>
          <w:rFonts w:ascii="Garamond" w:hAnsi="Garamond"/>
        </w:rPr>
        <w:t xml:space="preserve"> and</w:t>
      </w:r>
      <w:r w:rsidR="00FD6A21">
        <w:rPr>
          <w:rFonts w:ascii="Garamond" w:hAnsi="Garamond"/>
        </w:rPr>
        <w:t xml:space="preserve"> </w:t>
      </w:r>
      <w:r w:rsidR="00FD6A21">
        <w:rPr>
          <w:rFonts w:ascii="Garamond" w:hAnsi="Garamond"/>
        </w:rPr>
        <w:fldChar w:fldCharType="begin"/>
      </w:r>
      <w:r w:rsidR="007754F1">
        <w:rPr>
          <w:rFonts w:ascii="Garamond" w:hAnsi="Garamond"/>
        </w:rPr>
        <w:instrText xml:space="preserve"> ADDIN ZOTERO_ITEM CSL_CITATION {"citationID":"AA5b1N8B","properties":{"formattedCitation":"(Kapar et al., 2025)","plainCitation":"(Kapar et al., 2025)","dontUpdate":true,"noteIndex":0},"citationItems":[{"id":65,"uris":["http://zotero.org/users/local/1Z4MS4c2/items/AWHIT6RV"],"itemData":{"id":65,"type":"article-journal","abstract":"We analyze the reaction of global markets to the US tariff announcement of April 2, 2025. The study utilizes daily prices from 20 stock market indices that account for the largest US trade. The indices are obtained from S&amp;P Capital IQ Pro and span the period from January 02, 2024, to May 28, 2025. The aim of the study is to evaluate the impact of the tariff announcement on the market volatility levels, correlation patterns, and market connectedness. To ensure robustness of the findings, we employ methodological triangulation, incorporating the combined use of network theory and visual techniques. The GARCH model is used to show the change in conditional volatility after the announcement. Correlation heat maps and minimum spanning tree graphs are used to interrogate the correlation among the indices. The Quantile Vector Autoregression (QVAR) model is utilized to assess changes in connectedness. The study contributes to our understanding of how global markets respond to tariffs, and the importance of emerging markets as volatility transmitters. The results show that conditional volatility increased roughly two-fold post-tariff, the correlations have become significantly higher posttariff, and markets are more interconnected. Brazil, Canada, South Africa and Vietnam emerge as the main transmitters, possibly due to regional trade shifts, while the US become less central. These findings indicate an increase in systemic risk in the global markets and underscore the need for de-escalation of the trade conflict and the pursuit of a negotiated resolution.","container-title":"Finance Research Letters","DOI":"10.1016/j.frl.2025.108452","ISSN":"15446123","journalAbbreviation":"Finance Research Letters","language":"en","page":"108452","source":"DOI.org (Crossref)","title":"The short-term reaction of financial markets to the U.S. trade tariff announcement","volume":"86","author":[{"family":"Kapar","given":"Burcu"},{"family":"Buigut","given":"Steven"},{"family":"Billah","given":"Syed Mabruk"}],"issued":{"date-parts":[["2025",12]]}}}],"schema":"https://github.com/citation-style-language/schema/raw/master/csl-citation.json"} </w:instrText>
      </w:r>
      <w:r w:rsidR="00FD6A21">
        <w:rPr>
          <w:rFonts w:ascii="Garamond" w:hAnsi="Garamond"/>
        </w:rPr>
        <w:fldChar w:fldCharType="separate"/>
      </w:r>
      <w:r w:rsidR="00FD6A21" w:rsidRPr="00244DE4">
        <w:rPr>
          <w:rFonts w:ascii="Garamond" w:hAnsi="Garamond"/>
          <w:color w:val="4F81BD" w:themeColor="accent1"/>
        </w:rPr>
        <w:t>Kapar et al. (2025)</w:t>
      </w:r>
      <w:r w:rsidR="00FD6A21">
        <w:rPr>
          <w:rFonts w:ascii="Garamond" w:hAnsi="Garamond"/>
        </w:rPr>
        <w:fldChar w:fldCharType="end"/>
      </w:r>
      <w:r w:rsidR="00FD6A21">
        <w:rPr>
          <w:rFonts w:ascii="Garamond" w:hAnsi="Garamond"/>
        </w:rPr>
        <w:t xml:space="preserve"> </w:t>
      </w:r>
      <w:r w:rsidRPr="00A57B1C">
        <w:rPr>
          <w:rFonts w:ascii="Garamond" w:hAnsi="Garamond"/>
        </w:rPr>
        <w:t>who document sharp negative stock market reactions following United States tariff announcements, especially in economies with strong export linkages.</w:t>
      </w:r>
    </w:p>
    <w:p w14:paraId="5B5983EE" w14:textId="447A9BD2" w:rsidR="00A57B1C" w:rsidRPr="00A57B1C" w:rsidRDefault="00A57B1C" w:rsidP="00A57B1C">
      <w:pPr>
        <w:ind w:firstLine="851"/>
        <w:jc w:val="both"/>
        <w:rPr>
          <w:rFonts w:ascii="Garamond" w:hAnsi="Garamond"/>
        </w:rPr>
      </w:pPr>
      <w:r w:rsidRPr="00A57B1C">
        <w:rPr>
          <w:rFonts w:ascii="Garamond" w:hAnsi="Garamond"/>
        </w:rPr>
        <w:t xml:space="preserve">From a market efficiency perspective, the persistence of negative abnormal returns beyond the announcement day challenges the semi strong form of the Efficient Market </w:t>
      </w:r>
      <w:r w:rsidRPr="00A57B1C">
        <w:rPr>
          <w:rFonts w:ascii="Garamond" w:hAnsi="Garamond"/>
        </w:rPr>
        <w:lastRenderedPageBreak/>
        <w:t xml:space="preserve">Hypothesis, which posits that prices should fully and instantaneously reflect publicly available information. Instead, the observed pattern indicates delayed price adjustment, potentially driven by information processing costs, heterogeneous investor expectations, or heightened uncertainty surrounding the future path of trade policy. Interestingly, Singapore, despite maintaining a trade surplus with the United States, also exhibited significant cumulative losses. This finding contrasts with </w:t>
      </w:r>
      <w:r w:rsidR="00682EF1" w:rsidRPr="00244DE4">
        <w:rPr>
          <w:rFonts w:ascii="Garamond" w:hAnsi="Garamond"/>
          <w:color w:val="4F81BD" w:themeColor="accent1"/>
        </w:rPr>
        <w:fldChar w:fldCharType="begin"/>
      </w:r>
      <w:r w:rsidR="007754F1">
        <w:rPr>
          <w:rFonts w:ascii="Garamond" w:hAnsi="Garamond"/>
          <w:color w:val="4F81BD" w:themeColor="accent1"/>
        </w:rPr>
        <w:instrText xml:space="preserve"> ADDIN ZOTERO_ITEM CSL_CITATION {"citationID":"2bzGGDMK","properties":{"formattedCitation":"(Rao et al., 2025)","plainCitation":"(Rao et al., 2025)","dontUpdate":true,"noteIndex":0},"citationItems":[{"id":12,"uris":["http://zotero.org/users/local/1Z4MS4c2/items/F7TKM7G3"],"itemData":{"id":12,"type":"article-journal","abstract":"This study examines the financial market response to the U.S. tariff announcement on February 1, 2025, which imposed a 25 % tariff on imports from Mexico and Canada (except energy products at 10 %) and a 10 % tariff on China. The results reveal asymmetric market reactions: trade-deficit countries, which faced direct tariff impositions, exhibited muted and mixed responses, suggesting that investors had already priced in potential trade frictions or expected policy reversals. In contrast, trade-surplus countries experienced significant positive CAARs, reflecting investor optimism about potential trade reallocation benefits.","container-title":"Finance Research Letters","DOI":"10.1016/j.frl.2025.107465","ISSN":"15446123","journalAbbreviation":"Finance Research Letters","language":"en","page":"107465","source":"DOI.org (Crossref)","title":"Financial market reactions to U.S. tariff announcements: Evidence from trade-surplus and trade-deficit countries","title-short":"Financial market reactions to U.S. tariff announcements","volume":"81","author":[{"family":"Rao","given":"Amar"},{"family":"Lucey","given":"Brian"},{"family":"Kumar","given":"Satish"}],"issued":{"date-parts":[["2025",7]]}}}],"schema":"https://github.com/citation-style-language/schema/raw/master/csl-citation.json"} </w:instrText>
      </w:r>
      <w:r w:rsidR="00682EF1" w:rsidRPr="00244DE4">
        <w:rPr>
          <w:rFonts w:ascii="Garamond" w:hAnsi="Garamond"/>
          <w:color w:val="4F81BD" w:themeColor="accent1"/>
        </w:rPr>
        <w:fldChar w:fldCharType="separate"/>
      </w:r>
      <w:r w:rsidR="00682EF1" w:rsidRPr="00244DE4">
        <w:rPr>
          <w:rFonts w:ascii="Garamond" w:hAnsi="Garamond"/>
          <w:color w:val="4F81BD" w:themeColor="accent1"/>
        </w:rPr>
        <w:t>Rao et al. (2025)</w:t>
      </w:r>
      <w:r w:rsidR="00682EF1" w:rsidRPr="00244DE4">
        <w:rPr>
          <w:rFonts w:ascii="Garamond" w:hAnsi="Garamond"/>
          <w:color w:val="4F81BD" w:themeColor="accent1"/>
        </w:rPr>
        <w:fldChar w:fldCharType="end"/>
      </w:r>
      <w:r w:rsidRPr="00A57B1C">
        <w:rPr>
          <w:rFonts w:ascii="Garamond" w:hAnsi="Garamond"/>
        </w:rPr>
        <w:t xml:space="preserve"> who argue that surplus trading countries tend to display more resilient or even positive abnormal returns following tariff announcements. The result suggests that trade balance status alone does not insulate equity markets from external shocks, particularly in highly open financial </w:t>
      </w:r>
      <w:proofErr w:type="spellStart"/>
      <w:r w:rsidRPr="00A57B1C">
        <w:rPr>
          <w:rFonts w:ascii="Garamond" w:hAnsi="Garamond"/>
        </w:rPr>
        <w:t>centers</w:t>
      </w:r>
      <w:proofErr w:type="spellEnd"/>
      <w:r w:rsidRPr="00A57B1C">
        <w:rPr>
          <w:rFonts w:ascii="Garamond" w:hAnsi="Garamond"/>
        </w:rPr>
        <w:t xml:space="preserve"> where listed firms have extensive global exposure.</w:t>
      </w:r>
    </w:p>
    <w:p w14:paraId="14271ED3" w14:textId="63C726C2" w:rsidR="00A57B1C" w:rsidRPr="00A57B1C" w:rsidRDefault="00A57B1C" w:rsidP="00A57B1C">
      <w:pPr>
        <w:ind w:firstLine="851"/>
        <w:jc w:val="both"/>
        <w:rPr>
          <w:rFonts w:ascii="Garamond" w:hAnsi="Garamond"/>
        </w:rPr>
      </w:pPr>
      <w:r w:rsidRPr="00A57B1C">
        <w:rPr>
          <w:rFonts w:ascii="Garamond" w:hAnsi="Garamond"/>
        </w:rPr>
        <w:t xml:space="preserve">In contrast, the tariff pause announcement on 9 April 2025 generated a strong and largely positive market response across ASEAN. Significant positive abnormal returns on the announcement day and cumulatively over the event window indicate that investors interpreted the pause as </w:t>
      </w:r>
      <w:proofErr w:type="spellStart"/>
      <w:r w:rsidRPr="00A57B1C">
        <w:rPr>
          <w:rFonts w:ascii="Garamond" w:hAnsi="Garamond"/>
        </w:rPr>
        <w:t>favorable</w:t>
      </w:r>
      <w:proofErr w:type="spellEnd"/>
      <w:r w:rsidRPr="00A57B1C">
        <w:rPr>
          <w:rFonts w:ascii="Garamond" w:hAnsi="Garamond"/>
        </w:rPr>
        <w:t xml:space="preserve"> news that reduced the likelihood of further trade escalation. The sharp rebound following the severe losses from the initial announcement highlights the sensitivity of ASEAN markets to policy signals from the United States. While minor corrections were observed in some markets on subsequent days, the overall positive cumulative abnormal return suggests that the reduction in policy uncertainty outweighed lingering concerns about trade restrictions. This pattern supports the findings of </w:t>
      </w:r>
      <w:r w:rsidR="00682EF1" w:rsidRPr="00244DE4">
        <w:rPr>
          <w:rFonts w:ascii="Garamond" w:hAnsi="Garamond"/>
          <w:color w:val="4F81BD" w:themeColor="accent1"/>
        </w:rPr>
        <w:fldChar w:fldCharType="begin"/>
      </w:r>
      <w:r w:rsidR="007754F1">
        <w:rPr>
          <w:rFonts w:ascii="Garamond" w:hAnsi="Garamond"/>
          <w:color w:val="4F81BD" w:themeColor="accent1"/>
        </w:rPr>
        <w:instrText xml:space="preserve"> ADDIN ZOTERO_ITEM CSL_CITATION {"citationID":"fKCJAib1","properties":{"formattedCitation":"(Wengerek et al., 2025)","plainCitation":"(Wengerek et al., 2025)","dontUpdate":true,"noteIndex":0},"citationItems":[{"id":95,"uris":["http://zotero.org/users/local/1Z4MS4c2/items/WXFLLI6H"],"itemData":{"id":95,"type":"article-journal","abstract":"This study analyzes the impact of tariff imposition announcements on the stock prices of 1,194 U.S. companies during the first Trump administration, using a unique sample of 4,624 announcements made by or against the U.S. between January 2018 and August 2019. We find that tariff announcements lead to negative (cumulative) average abnormal stock returns. These negative wealth effects occur regardless of whether the Trump administration imposes safeguard tariffs to protect domestic industries or foreign countries announce retaliatory tariffs. Moreover, the adverse impact is primarily driven by announcements involving China, with variations linked to sector-specific, tariff, trade, and firm characteristics.","container-title":"Finance Research Letters","DOI":"10.1016/j.frl.2025.107381","ISSN":"15446123","journalAbbreviation":"Finance Research Letters","language":"en","page":"107381","source":"DOI.org (Crossref)","title":"Share price reactions to tariff imposition announcements during the first Trump administration","volume":"80","author":[{"family":"Wengerek","given":"Sascha Tobias"},{"family":"Uhde","given":"André"},{"family":"Hippert","given":"Benjamin"}],"issued":{"date-parts":[["2025",6]]}}}],"schema":"https://github.com/citation-style-language/schema/raw/master/csl-citation.json"} </w:instrText>
      </w:r>
      <w:r w:rsidR="00682EF1" w:rsidRPr="00244DE4">
        <w:rPr>
          <w:rFonts w:ascii="Garamond" w:hAnsi="Garamond"/>
          <w:color w:val="4F81BD" w:themeColor="accent1"/>
        </w:rPr>
        <w:fldChar w:fldCharType="separate"/>
      </w:r>
      <w:r w:rsidR="00682EF1" w:rsidRPr="00244DE4">
        <w:rPr>
          <w:rFonts w:ascii="Garamond" w:hAnsi="Garamond"/>
          <w:color w:val="4F81BD" w:themeColor="accent1"/>
        </w:rPr>
        <w:t>Wengerek et al. (2025)</w:t>
      </w:r>
      <w:r w:rsidR="00682EF1" w:rsidRPr="00244DE4">
        <w:rPr>
          <w:rFonts w:ascii="Garamond" w:hAnsi="Garamond"/>
          <w:color w:val="4F81BD" w:themeColor="accent1"/>
        </w:rPr>
        <w:fldChar w:fldCharType="end"/>
      </w:r>
      <w:r w:rsidRPr="00A57B1C">
        <w:rPr>
          <w:rFonts w:ascii="Garamond" w:hAnsi="Garamond"/>
        </w:rPr>
        <w:t xml:space="preserve"> who emphasize that stock market reactions to tariff related announcements are driven more by changes in investor expectations and uncertainty than by tariff levels alone.</w:t>
      </w:r>
    </w:p>
    <w:p w14:paraId="3BD64491" w14:textId="3CCC4064" w:rsidR="00A57B1C" w:rsidRPr="00A57B1C" w:rsidRDefault="00A57B1C" w:rsidP="00A57B1C">
      <w:pPr>
        <w:ind w:firstLine="851"/>
        <w:jc w:val="both"/>
        <w:rPr>
          <w:rFonts w:ascii="Garamond" w:hAnsi="Garamond"/>
        </w:rPr>
      </w:pPr>
      <w:r w:rsidRPr="00A57B1C">
        <w:rPr>
          <w:rFonts w:ascii="Garamond" w:hAnsi="Garamond"/>
        </w:rPr>
        <w:t xml:space="preserve">The rapid shift from negative to positive abnormal returns within a short interval between the first and second events also provides evidence of possible overreaction followed by price correction in certain markets. The immediate surge on the announcement day, followed by weaker or mixed reactions thereafter, suggests that some investors may have initially overestimated the positive impact of the tariff pause before reassessing its longer-term implications. Such </w:t>
      </w:r>
      <w:proofErr w:type="spellStart"/>
      <w:r w:rsidRPr="00A57B1C">
        <w:rPr>
          <w:rFonts w:ascii="Garamond" w:hAnsi="Garamond"/>
        </w:rPr>
        <w:t>behavior</w:t>
      </w:r>
      <w:proofErr w:type="spellEnd"/>
      <w:r w:rsidRPr="00A57B1C">
        <w:rPr>
          <w:rFonts w:ascii="Garamond" w:hAnsi="Garamond"/>
        </w:rPr>
        <w:t xml:space="preserve"> is consistent with </w:t>
      </w:r>
      <w:proofErr w:type="spellStart"/>
      <w:r w:rsidRPr="00A57B1C">
        <w:rPr>
          <w:rFonts w:ascii="Garamond" w:hAnsi="Garamond"/>
        </w:rPr>
        <w:t>behavioral</w:t>
      </w:r>
      <w:proofErr w:type="spellEnd"/>
      <w:r w:rsidRPr="00A57B1C">
        <w:rPr>
          <w:rFonts w:ascii="Garamond" w:hAnsi="Garamond"/>
        </w:rPr>
        <w:t xml:space="preserve"> finance explanations and further indicates that ASEAN stock markets do not always conform to strict informational efficiency during periods of heightened policy uncertainty.</w:t>
      </w:r>
    </w:p>
    <w:p w14:paraId="6438141F" w14:textId="06ABAD7E" w:rsidR="00A57B1C" w:rsidRPr="00A57B1C" w:rsidRDefault="00A57B1C" w:rsidP="00244DE4">
      <w:pPr>
        <w:ind w:firstLine="851"/>
        <w:jc w:val="both"/>
        <w:rPr>
          <w:rFonts w:ascii="Garamond" w:hAnsi="Garamond"/>
        </w:rPr>
      </w:pPr>
      <w:r w:rsidRPr="00A57B1C">
        <w:rPr>
          <w:rFonts w:ascii="Garamond" w:hAnsi="Garamond"/>
        </w:rPr>
        <w:t>The tariff adjustment announcement on 31 July 2025 elicited a more moderate and heterogeneous response compared to the earlier events. While daily abnormal returns were mostly insignificant, the cumulative abnormal return over the event window was positive and statistically significant. This finding implies that the market response unfolded gradually rather than being concentrated on a single trading day. The absence of strong immediate reactions suggests that much of the information related to tariff adjustments had already been anticipated by investors, resulting in a smoother price adjustment process. This outcome aligns with</w:t>
      </w:r>
      <w:r w:rsidR="00682EF1">
        <w:rPr>
          <w:rFonts w:ascii="Garamond" w:hAnsi="Garamond"/>
        </w:rPr>
        <w:t xml:space="preserve"> </w:t>
      </w:r>
      <w:r w:rsidR="00682EF1" w:rsidRPr="00244DE4">
        <w:rPr>
          <w:rFonts w:ascii="Garamond" w:hAnsi="Garamond"/>
          <w:color w:val="4F81BD" w:themeColor="accent1"/>
        </w:rPr>
        <w:fldChar w:fldCharType="begin"/>
      </w:r>
      <w:r w:rsidR="007754F1">
        <w:rPr>
          <w:rFonts w:ascii="Garamond" w:hAnsi="Garamond"/>
          <w:color w:val="4F81BD" w:themeColor="accent1"/>
        </w:rPr>
        <w:instrText xml:space="preserve"> ADDIN ZOTERO_ITEM CSL_CITATION {"citationID":"1a0tm5k8","properties":{"formattedCitation":"(Cocozza &amp; Gallo, 2025)","plainCitation":"(Cocozza &amp; Gallo, 2025)","dontUpdate":true,"noteIndex":0},"citationItems":[{"id":87,"uris":["http://zotero.org/users/local/1Z4MS4c2/items/AWEBWKK5"],"itemData":{"id":87,"type":"article-journal","abstract":"This paper investigates the short-term equity market response to the April 2025 ‘‘Liberation Day’’ tariff announcement and the subsequent August 2025 enforcement. Using event-study methods and panel regressions on S&amp;P500 firms, we document sharp and heterogeneous losses at announcement, most severe in trade-exposed sectors and among smaller firms, followed by partial recovery at implementation, when realized tariffs were less stringent than initially signalled. Placebo tests corroborate the causal interpretation, while impulse-response analysis highlights asymmetric effects across financial sub-sectors. Overall, the evidence supports semi-strong market efficiency and underscores the role of firm characteristics in shaping exposure to trade-policy risk. The findings provide insight into how markets price trade policy risk and offer implications for policymakers.","container-title":"Economics Letters","DOI":"10.1016/j.econlet.2025.112647","ISSN":"01651765","journalAbbreviation":"Economics Letters","language":"en","page":"112647","source":"DOI.org (Crossref)","title":"Firm-level reactions to trade policy risk: Evidence from the S&amp;P 500","title-short":"Firm-level reactions to trade policy risk","volume":"257","author":[{"family":"Cocozza","given":"Rosa"},{"family":"Gallo","given":"Serena"}],"issued":{"date-parts":[["2025",12]]}}}],"schema":"https://github.com/citation-style-language/schema/raw/master/csl-citation.json"} </w:instrText>
      </w:r>
      <w:r w:rsidR="00682EF1" w:rsidRPr="00244DE4">
        <w:rPr>
          <w:rFonts w:ascii="Garamond" w:hAnsi="Garamond"/>
          <w:color w:val="4F81BD" w:themeColor="accent1"/>
        </w:rPr>
        <w:fldChar w:fldCharType="separate"/>
      </w:r>
      <w:r w:rsidR="00682EF1" w:rsidRPr="00244DE4">
        <w:rPr>
          <w:rFonts w:ascii="Garamond" w:hAnsi="Garamond"/>
          <w:color w:val="4F81BD" w:themeColor="accent1"/>
        </w:rPr>
        <w:t>Cocozza &amp; Gallo (2025)</w:t>
      </w:r>
      <w:r w:rsidR="00682EF1" w:rsidRPr="00244DE4">
        <w:rPr>
          <w:rFonts w:ascii="Garamond" w:hAnsi="Garamond"/>
          <w:color w:val="4F81BD" w:themeColor="accent1"/>
        </w:rPr>
        <w:fldChar w:fldCharType="end"/>
      </w:r>
      <w:r w:rsidRPr="00A57B1C">
        <w:rPr>
          <w:rFonts w:ascii="Garamond" w:hAnsi="Garamond"/>
        </w:rPr>
        <w:t xml:space="preserve"> who show that when trade policy changes are largely expected or represent implementation rather than surprise, market reactions tend to be smaller and more dispersed over time.</w:t>
      </w:r>
    </w:p>
    <w:p w14:paraId="5E446739" w14:textId="77777777" w:rsidR="0091007A" w:rsidRPr="004D5B5D" w:rsidRDefault="0091007A" w:rsidP="004D5B5D">
      <w:pPr>
        <w:jc w:val="both"/>
        <w:rPr>
          <w:rFonts w:ascii="Garamond" w:hAnsi="Garamond"/>
          <w:b/>
          <w:bCs/>
        </w:rPr>
      </w:pPr>
    </w:p>
    <w:p w14:paraId="5E37CB17" w14:textId="085C729E" w:rsidR="00EB2A16" w:rsidRDefault="00A57B1C" w:rsidP="00150B9E">
      <w:pPr>
        <w:pStyle w:val="ListParagraph"/>
        <w:numPr>
          <w:ilvl w:val="0"/>
          <w:numId w:val="7"/>
        </w:numPr>
        <w:ind w:left="426" w:hanging="426"/>
        <w:jc w:val="both"/>
        <w:rPr>
          <w:rFonts w:ascii="Garamond" w:hAnsi="Garamond"/>
          <w:b/>
          <w:bCs/>
        </w:rPr>
      </w:pPr>
      <w:r>
        <w:rPr>
          <w:rFonts w:ascii="Garamond" w:hAnsi="Garamond"/>
          <w:b/>
          <w:bCs/>
        </w:rPr>
        <w:t>Conclusion</w:t>
      </w:r>
    </w:p>
    <w:p w14:paraId="36AD5AC4" w14:textId="77777777" w:rsidR="00EB2A16" w:rsidRPr="00150B9E" w:rsidRDefault="00EB2A16" w:rsidP="00EB2A16">
      <w:pPr>
        <w:pStyle w:val="ListParagraph"/>
        <w:ind w:left="426"/>
        <w:jc w:val="both"/>
        <w:rPr>
          <w:rFonts w:ascii="Garamond" w:hAnsi="Garamond"/>
          <w:b/>
          <w:bCs/>
        </w:rPr>
      </w:pPr>
    </w:p>
    <w:p w14:paraId="5A9E38FA" w14:textId="77777777" w:rsidR="00A57B1C" w:rsidRPr="00A57B1C" w:rsidRDefault="00A57B1C" w:rsidP="00A57B1C">
      <w:pPr>
        <w:ind w:firstLine="851"/>
        <w:jc w:val="both"/>
        <w:rPr>
          <w:rFonts w:ascii="Garamond" w:hAnsi="Garamond"/>
        </w:rPr>
      </w:pPr>
      <w:r w:rsidRPr="00A57B1C">
        <w:rPr>
          <w:rFonts w:ascii="Garamond" w:hAnsi="Garamond"/>
        </w:rPr>
        <w:t>This study examines the stock market reaction in ASEAN to three United States reciprocal tariff related announcements in 2025 using an event study approach. The findings show that U.S. trade policy announcements generated statistically significant abnormal returns in ASEAN stock markets, with the direction and magnitude of the response varying across policy events. The initial tariff announcement produced a broad and persistent negative reaction, the tariff pause announcement triggered a strong positive rebound, and the tariff adjustment announcement resulted in a more moderate and cumulative response. These results indicate that U.S. trade policy remains a key external shock influencing ASEAN financial markets.</w:t>
      </w:r>
    </w:p>
    <w:p w14:paraId="02FCA4C4" w14:textId="77777777" w:rsidR="00A57B1C" w:rsidRPr="00A57B1C" w:rsidRDefault="00A57B1C" w:rsidP="00A57B1C">
      <w:pPr>
        <w:ind w:firstLine="851"/>
        <w:jc w:val="both"/>
        <w:rPr>
          <w:rFonts w:ascii="Garamond" w:hAnsi="Garamond"/>
        </w:rPr>
      </w:pPr>
      <w:r w:rsidRPr="00A57B1C">
        <w:rPr>
          <w:rFonts w:ascii="Garamond" w:hAnsi="Garamond"/>
        </w:rPr>
        <w:t xml:space="preserve">From a market efficiency perspective, the evidence suggests that ASEAN stock markets are not fully consistent with the semi strong form of the Efficient Market Hypothesis. The presence of delayed reactions, cumulative abnormal returns, and asymmetric responses across </w:t>
      </w:r>
      <w:r w:rsidRPr="00A57B1C">
        <w:rPr>
          <w:rFonts w:ascii="Garamond" w:hAnsi="Garamond"/>
        </w:rPr>
        <w:lastRenderedPageBreak/>
        <w:t xml:space="preserve">events indicates that prices do not always adjust instantaneously to publicly available information. Investor </w:t>
      </w:r>
      <w:proofErr w:type="spellStart"/>
      <w:r w:rsidRPr="00A57B1C">
        <w:rPr>
          <w:rFonts w:ascii="Garamond" w:hAnsi="Garamond"/>
        </w:rPr>
        <w:t>behavior</w:t>
      </w:r>
      <w:proofErr w:type="spellEnd"/>
      <w:r w:rsidRPr="00A57B1C">
        <w:rPr>
          <w:rFonts w:ascii="Garamond" w:hAnsi="Garamond"/>
        </w:rPr>
        <w:t xml:space="preserve"> appears to be influenced by uncertainty, expectation revision, and learning effects, particularly during periods of rapid policy changes and heightened geopolitical risk.</w:t>
      </w:r>
    </w:p>
    <w:p w14:paraId="3149B3CB" w14:textId="77777777" w:rsidR="00A57B1C" w:rsidRPr="00A57B1C" w:rsidRDefault="00A57B1C" w:rsidP="00A57B1C">
      <w:pPr>
        <w:ind w:firstLine="851"/>
        <w:jc w:val="both"/>
        <w:rPr>
          <w:rFonts w:ascii="Garamond" w:hAnsi="Garamond"/>
        </w:rPr>
      </w:pPr>
      <w:r w:rsidRPr="00A57B1C">
        <w:rPr>
          <w:rFonts w:ascii="Garamond" w:hAnsi="Garamond"/>
        </w:rPr>
        <w:t xml:space="preserve">The contrasting reactions across the three events also highlight the importance of policy signals rather than tariff levels alone. While the initial announcement heightened uncertainty and triggered sell offs, the pause announcement was interpreted as </w:t>
      </w:r>
      <w:proofErr w:type="spellStart"/>
      <w:r w:rsidRPr="00A57B1C">
        <w:rPr>
          <w:rFonts w:ascii="Garamond" w:hAnsi="Garamond"/>
        </w:rPr>
        <w:t>favorable</w:t>
      </w:r>
      <w:proofErr w:type="spellEnd"/>
      <w:r w:rsidRPr="00A57B1C">
        <w:rPr>
          <w:rFonts w:ascii="Garamond" w:hAnsi="Garamond"/>
        </w:rPr>
        <w:t xml:space="preserve"> news that reduced perceived trade risk, leading to a sharp market recovery. The more muted response to the tariff adjustment announcement suggests that investors had gradually incorporated trade policy risks into asset prices, resulting in a smoother adjustment process.</w:t>
      </w:r>
    </w:p>
    <w:p w14:paraId="35069683" w14:textId="0CAB5B5D" w:rsidR="0044007A" w:rsidRPr="00A57B1C" w:rsidRDefault="00A57B1C" w:rsidP="00A57B1C">
      <w:pPr>
        <w:ind w:firstLine="851"/>
        <w:jc w:val="both"/>
        <w:rPr>
          <w:rFonts w:ascii="Garamond" w:hAnsi="Garamond"/>
        </w:rPr>
      </w:pPr>
      <w:r w:rsidRPr="00A57B1C">
        <w:rPr>
          <w:rFonts w:ascii="Garamond" w:hAnsi="Garamond"/>
        </w:rPr>
        <w:t>Overall, this study contributes to the literature on trade policy and financial markets by providing recent evidence from ASEAN during a new episode of U.S. protectionist policy. The findings have practical implications for investors and policymakers, emphasizing the sensitivity of emerging and open markets to external policy shocks and the role of communication in shaping market expectations. Future research may extend this analysis by incorporating firm level data, alternative expected return models, or longer event windows to further explore the transmission of trade policy uncertainty across financial markets.</w:t>
      </w:r>
    </w:p>
    <w:p w14:paraId="26471927" w14:textId="77777777" w:rsidR="00597379" w:rsidRDefault="00597379" w:rsidP="00597379">
      <w:pPr>
        <w:contextualSpacing/>
        <w:jc w:val="both"/>
        <w:rPr>
          <w:rFonts w:ascii="Garamond" w:hAnsi="Garamond"/>
        </w:rPr>
      </w:pPr>
    </w:p>
    <w:p w14:paraId="7D7C1018" w14:textId="6058667F" w:rsidR="00597379" w:rsidRPr="00597379" w:rsidRDefault="00597379" w:rsidP="00597379">
      <w:pPr>
        <w:contextualSpacing/>
        <w:jc w:val="both"/>
        <w:rPr>
          <w:rFonts w:ascii="Garamond" w:hAnsi="Garamond"/>
          <w:b/>
          <w:bCs/>
        </w:rPr>
      </w:pPr>
      <w:r w:rsidRPr="00597379">
        <w:rPr>
          <w:rFonts w:ascii="Garamond" w:hAnsi="Garamond"/>
          <w:b/>
          <w:bCs/>
        </w:rPr>
        <w:t>Ethical Approval</w:t>
      </w:r>
    </w:p>
    <w:p w14:paraId="46513AF1" w14:textId="5CA2D078" w:rsidR="00597379" w:rsidRPr="00597379" w:rsidRDefault="00031F20" w:rsidP="00031F20">
      <w:pPr>
        <w:contextualSpacing/>
        <w:jc w:val="both"/>
        <w:rPr>
          <w:rFonts w:ascii="Garamond" w:hAnsi="Garamond"/>
        </w:rPr>
      </w:pPr>
      <w:r>
        <w:rPr>
          <w:rFonts w:ascii="Garamond" w:hAnsi="Garamond"/>
        </w:rPr>
        <w:t>Not Applicable</w:t>
      </w:r>
    </w:p>
    <w:p w14:paraId="13815152" w14:textId="77777777" w:rsidR="00597379" w:rsidRDefault="00597379" w:rsidP="00597379">
      <w:pPr>
        <w:contextualSpacing/>
        <w:jc w:val="both"/>
        <w:rPr>
          <w:rFonts w:ascii="Garamond" w:hAnsi="Garamond"/>
        </w:rPr>
      </w:pPr>
    </w:p>
    <w:p w14:paraId="36ABF608" w14:textId="20848450" w:rsidR="00597379" w:rsidRPr="00597379" w:rsidRDefault="00597379" w:rsidP="00597379">
      <w:pPr>
        <w:contextualSpacing/>
        <w:jc w:val="both"/>
        <w:rPr>
          <w:rFonts w:ascii="Garamond" w:hAnsi="Garamond"/>
          <w:b/>
          <w:bCs/>
        </w:rPr>
      </w:pPr>
      <w:r w:rsidRPr="00597379">
        <w:rPr>
          <w:rFonts w:ascii="Garamond" w:hAnsi="Garamond"/>
          <w:b/>
          <w:bCs/>
        </w:rPr>
        <w:t>Informed Consent Statement</w:t>
      </w:r>
    </w:p>
    <w:p w14:paraId="7DDEA7FD" w14:textId="3BAF8C83" w:rsidR="00597379" w:rsidRPr="00597379" w:rsidRDefault="00031F20" w:rsidP="00031F20">
      <w:pPr>
        <w:contextualSpacing/>
        <w:jc w:val="both"/>
        <w:rPr>
          <w:rFonts w:ascii="Garamond" w:hAnsi="Garamond"/>
        </w:rPr>
      </w:pPr>
      <w:r>
        <w:rPr>
          <w:rFonts w:ascii="Garamond" w:hAnsi="Garamond"/>
        </w:rPr>
        <w:t>Not Applicable</w:t>
      </w:r>
    </w:p>
    <w:p w14:paraId="0A8808C3" w14:textId="77777777" w:rsidR="00597379" w:rsidRDefault="00597379" w:rsidP="00597379">
      <w:pPr>
        <w:contextualSpacing/>
        <w:jc w:val="both"/>
        <w:rPr>
          <w:rFonts w:ascii="Garamond" w:hAnsi="Garamond"/>
        </w:rPr>
      </w:pPr>
    </w:p>
    <w:p w14:paraId="1C612C0B" w14:textId="3DE86E22" w:rsidR="00BA6CA3" w:rsidRPr="00597379" w:rsidRDefault="00597379" w:rsidP="00BA6CA3">
      <w:pPr>
        <w:spacing w:after="240"/>
        <w:contextualSpacing/>
        <w:jc w:val="both"/>
        <w:rPr>
          <w:rFonts w:ascii="Garamond" w:hAnsi="Garamond"/>
          <w:b/>
          <w:bCs/>
        </w:rPr>
      </w:pPr>
      <w:r w:rsidRPr="00597379">
        <w:rPr>
          <w:rFonts w:ascii="Garamond" w:hAnsi="Garamond"/>
          <w:b/>
          <w:bCs/>
        </w:rPr>
        <w:t>Authors’ Contributions</w:t>
      </w:r>
    </w:p>
    <w:p w14:paraId="43D55CA5" w14:textId="0A7F179E" w:rsidR="00597379" w:rsidRPr="00597379" w:rsidRDefault="00AC2BC0" w:rsidP="00BA6CA3">
      <w:pPr>
        <w:spacing w:before="240" w:after="240"/>
        <w:contextualSpacing/>
        <w:jc w:val="both"/>
        <w:rPr>
          <w:rFonts w:ascii="Garamond" w:hAnsi="Garamond"/>
        </w:rPr>
      </w:pPr>
      <w:r w:rsidRPr="00AC2BC0">
        <w:rPr>
          <w:rFonts w:ascii="Garamond" w:hAnsi="Garamond"/>
        </w:rPr>
        <w:t>Conceptualization, ARK., and TDW; methodology, ARK., and TDW; validation, TDW., and MH; formal analysis, ARK.; resources, ARK.; data curation, ARK.; writing – original draft preparation, ARK.; writing – review and editing, TDW., and MH; supervision, TDW., and MH</w:t>
      </w:r>
      <w:r>
        <w:rPr>
          <w:rFonts w:ascii="Garamond" w:hAnsi="Garamond"/>
        </w:rPr>
        <w:t>.</w:t>
      </w:r>
    </w:p>
    <w:p w14:paraId="681B1662" w14:textId="77777777" w:rsidR="00597379" w:rsidRDefault="00597379" w:rsidP="00597379">
      <w:pPr>
        <w:contextualSpacing/>
        <w:jc w:val="both"/>
        <w:rPr>
          <w:rFonts w:ascii="Garamond" w:hAnsi="Garamond"/>
        </w:rPr>
      </w:pPr>
    </w:p>
    <w:p w14:paraId="742BEED2" w14:textId="05F912E3" w:rsidR="00597379" w:rsidRPr="00597379" w:rsidRDefault="00597379" w:rsidP="00597379">
      <w:pPr>
        <w:contextualSpacing/>
        <w:jc w:val="both"/>
        <w:rPr>
          <w:rFonts w:ascii="Garamond" w:hAnsi="Garamond"/>
          <w:b/>
          <w:bCs/>
        </w:rPr>
      </w:pPr>
      <w:r w:rsidRPr="00597379">
        <w:rPr>
          <w:rFonts w:ascii="Garamond" w:hAnsi="Garamond"/>
          <w:b/>
          <w:bCs/>
        </w:rPr>
        <w:t>Disclosure Statement</w:t>
      </w:r>
    </w:p>
    <w:p w14:paraId="5475E74C" w14:textId="6FEE620C" w:rsidR="00597379" w:rsidRPr="00597379" w:rsidRDefault="00031F20" w:rsidP="00597379">
      <w:pPr>
        <w:contextualSpacing/>
        <w:jc w:val="both"/>
        <w:rPr>
          <w:rFonts w:ascii="Garamond" w:hAnsi="Garamond"/>
        </w:rPr>
      </w:pPr>
      <w:r w:rsidRPr="00031F20">
        <w:rPr>
          <w:rFonts w:ascii="Garamond" w:hAnsi="Garamond"/>
        </w:rPr>
        <w:t>The authors declare that there are no relevant conflicts of interest related to this research</w:t>
      </w:r>
    </w:p>
    <w:p w14:paraId="560FF7D5" w14:textId="77777777" w:rsidR="00597379" w:rsidRDefault="00597379" w:rsidP="00597379">
      <w:pPr>
        <w:contextualSpacing/>
        <w:jc w:val="both"/>
        <w:rPr>
          <w:rFonts w:ascii="Garamond" w:hAnsi="Garamond"/>
        </w:rPr>
      </w:pPr>
    </w:p>
    <w:p w14:paraId="6D4C4257" w14:textId="63F3AFC9" w:rsidR="00597379" w:rsidRPr="00597379" w:rsidRDefault="00597379" w:rsidP="00597379">
      <w:pPr>
        <w:contextualSpacing/>
        <w:jc w:val="both"/>
        <w:rPr>
          <w:rFonts w:ascii="Garamond" w:hAnsi="Garamond"/>
          <w:b/>
          <w:bCs/>
        </w:rPr>
      </w:pPr>
      <w:r w:rsidRPr="00597379">
        <w:rPr>
          <w:rFonts w:ascii="Garamond" w:hAnsi="Garamond"/>
          <w:b/>
          <w:bCs/>
        </w:rPr>
        <w:t>Data Availability Statement</w:t>
      </w:r>
    </w:p>
    <w:p w14:paraId="6E6C6725" w14:textId="36152AA5" w:rsidR="00597379" w:rsidRPr="00597379" w:rsidRDefault="00597379" w:rsidP="00597379">
      <w:pPr>
        <w:contextualSpacing/>
        <w:jc w:val="both"/>
        <w:rPr>
          <w:rFonts w:ascii="Garamond" w:hAnsi="Garamond"/>
        </w:rPr>
      </w:pPr>
      <w:r w:rsidRPr="00597379">
        <w:rPr>
          <w:rFonts w:ascii="Garamond" w:hAnsi="Garamond"/>
        </w:rPr>
        <w:t>The data presented in this study are available on request from the corresponding author due to privacy reasons.</w:t>
      </w:r>
    </w:p>
    <w:p w14:paraId="29C91D32" w14:textId="77777777" w:rsidR="00597379" w:rsidRDefault="00597379" w:rsidP="00597379">
      <w:pPr>
        <w:contextualSpacing/>
        <w:jc w:val="both"/>
        <w:rPr>
          <w:rFonts w:ascii="Garamond" w:hAnsi="Garamond"/>
        </w:rPr>
      </w:pPr>
    </w:p>
    <w:p w14:paraId="467520A3" w14:textId="481443E6" w:rsidR="00597379" w:rsidRPr="00597379" w:rsidRDefault="00597379" w:rsidP="00597379">
      <w:pPr>
        <w:contextualSpacing/>
        <w:jc w:val="both"/>
        <w:rPr>
          <w:rFonts w:ascii="Garamond" w:hAnsi="Garamond"/>
          <w:b/>
          <w:bCs/>
        </w:rPr>
      </w:pPr>
      <w:r w:rsidRPr="00597379">
        <w:rPr>
          <w:rFonts w:ascii="Garamond" w:hAnsi="Garamond"/>
          <w:b/>
          <w:bCs/>
        </w:rPr>
        <w:t>Funding</w:t>
      </w:r>
    </w:p>
    <w:p w14:paraId="1B0E4271" w14:textId="07D53B9A" w:rsidR="00597379" w:rsidRPr="00597379" w:rsidRDefault="00597379" w:rsidP="00597379">
      <w:pPr>
        <w:contextualSpacing/>
        <w:jc w:val="both"/>
        <w:rPr>
          <w:rFonts w:ascii="Garamond" w:hAnsi="Garamond"/>
        </w:rPr>
      </w:pPr>
      <w:r w:rsidRPr="00597379">
        <w:rPr>
          <w:rFonts w:ascii="Garamond" w:hAnsi="Garamond"/>
        </w:rPr>
        <w:t>This research received no external funding.</w:t>
      </w:r>
    </w:p>
    <w:p w14:paraId="5647C246" w14:textId="77777777" w:rsidR="00597379" w:rsidRDefault="00597379" w:rsidP="00597379">
      <w:pPr>
        <w:contextualSpacing/>
        <w:jc w:val="both"/>
        <w:rPr>
          <w:rFonts w:ascii="Garamond" w:hAnsi="Garamond"/>
        </w:rPr>
      </w:pPr>
    </w:p>
    <w:p w14:paraId="5D91FC13" w14:textId="2AB11089" w:rsidR="00597379" w:rsidRPr="00597379" w:rsidRDefault="00597379" w:rsidP="00BA6CA3">
      <w:pPr>
        <w:spacing w:before="240"/>
        <w:contextualSpacing/>
        <w:jc w:val="both"/>
        <w:rPr>
          <w:rFonts w:ascii="Garamond" w:hAnsi="Garamond"/>
          <w:b/>
          <w:bCs/>
        </w:rPr>
      </w:pPr>
      <w:r w:rsidRPr="00597379">
        <w:rPr>
          <w:rFonts w:ascii="Garamond" w:hAnsi="Garamond"/>
          <w:b/>
          <w:bCs/>
        </w:rPr>
        <w:t>Notes on Contributors</w:t>
      </w:r>
    </w:p>
    <w:p w14:paraId="33311691" w14:textId="7DF1886C" w:rsidR="00597379" w:rsidRDefault="00031F20" w:rsidP="00BA6CA3">
      <w:pPr>
        <w:spacing w:before="240"/>
        <w:jc w:val="both"/>
        <w:rPr>
          <w:rFonts w:ascii="Garamond" w:hAnsi="Garamond"/>
          <w:b/>
          <w:bCs/>
        </w:rPr>
      </w:pPr>
      <w:r>
        <w:rPr>
          <w:rFonts w:ascii="Garamond" w:hAnsi="Garamond"/>
          <w:b/>
          <w:bCs/>
        </w:rPr>
        <w:t>Alvin Rezki Kurniawan</w:t>
      </w:r>
    </w:p>
    <w:p w14:paraId="1514C642" w14:textId="56384AE9" w:rsidR="00BA6CA3" w:rsidRPr="00BA6CA3" w:rsidRDefault="00BA6CA3" w:rsidP="00597379">
      <w:pPr>
        <w:spacing w:after="200"/>
        <w:jc w:val="both"/>
        <w:rPr>
          <w:rFonts w:ascii="Garamond" w:hAnsi="Garamond"/>
        </w:rPr>
      </w:pPr>
      <w:r>
        <w:rPr>
          <w:rFonts w:ascii="Garamond" w:hAnsi="Garamond"/>
        </w:rPr>
        <w:t xml:space="preserve">Alvin Rezki Kurniawan is affiliated with </w:t>
      </w:r>
      <w:proofErr w:type="spellStart"/>
      <w:r w:rsidRPr="00721E64">
        <w:rPr>
          <w:rFonts w:ascii="Garamond" w:hAnsi="Garamond"/>
        </w:rPr>
        <w:t>Syarif</w:t>
      </w:r>
      <w:proofErr w:type="spellEnd"/>
      <w:r w:rsidRPr="00721E64">
        <w:rPr>
          <w:rFonts w:ascii="Garamond" w:hAnsi="Garamond"/>
        </w:rPr>
        <w:t xml:space="preserve"> Hidayatullah State Islamic University Jakarta</w:t>
      </w:r>
    </w:p>
    <w:p w14:paraId="7EEC31FC" w14:textId="1E1FB523" w:rsidR="00BA6CA3" w:rsidRDefault="00BA6CA3" w:rsidP="00BA6CA3">
      <w:pPr>
        <w:jc w:val="both"/>
        <w:rPr>
          <w:rFonts w:ascii="Garamond" w:hAnsi="Garamond"/>
          <w:b/>
          <w:bCs/>
        </w:rPr>
      </w:pPr>
      <w:r>
        <w:rPr>
          <w:rFonts w:ascii="Garamond" w:hAnsi="Garamond"/>
          <w:b/>
          <w:bCs/>
        </w:rPr>
        <w:t xml:space="preserve">Titi Dewi </w:t>
      </w:r>
      <w:proofErr w:type="spellStart"/>
      <w:r>
        <w:rPr>
          <w:rFonts w:ascii="Garamond" w:hAnsi="Garamond"/>
          <w:b/>
          <w:bCs/>
        </w:rPr>
        <w:t>Warninda</w:t>
      </w:r>
      <w:proofErr w:type="spellEnd"/>
    </w:p>
    <w:p w14:paraId="6B6D5F01" w14:textId="489EB877" w:rsidR="00BA6CA3" w:rsidRPr="00BA6CA3" w:rsidRDefault="00BA6CA3" w:rsidP="00597379">
      <w:pPr>
        <w:spacing w:after="200"/>
        <w:jc w:val="both"/>
        <w:rPr>
          <w:rFonts w:ascii="Garamond" w:hAnsi="Garamond"/>
        </w:rPr>
      </w:pPr>
      <w:r>
        <w:rPr>
          <w:rFonts w:ascii="Garamond" w:hAnsi="Garamond"/>
        </w:rPr>
        <w:t xml:space="preserve">Titi Dewi </w:t>
      </w:r>
      <w:proofErr w:type="spellStart"/>
      <w:r>
        <w:rPr>
          <w:rFonts w:ascii="Garamond" w:hAnsi="Garamond"/>
        </w:rPr>
        <w:t>Warninda</w:t>
      </w:r>
      <w:proofErr w:type="spellEnd"/>
      <w:r>
        <w:rPr>
          <w:rFonts w:ascii="Garamond" w:hAnsi="Garamond"/>
        </w:rPr>
        <w:t xml:space="preserve"> is affiliated with </w:t>
      </w:r>
      <w:proofErr w:type="spellStart"/>
      <w:r w:rsidRPr="00721E64">
        <w:rPr>
          <w:rFonts w:ascii="Garamond" w:hAnsi="Garamond"/>
        </w:rPr>
        <w:t>Syarif</w:t>
      </w:r>
      <w:proofErr w:type="spellEnd"/>
      <w:r w:rsidRPr="00721E64">
        <w:rPr>
          <w:rFonts w:ascii="Garamond" w:hAnsi="Garamond"/>
        </w:rPr>
        <w:t xml:space="preserve"> Hidayatullah State Islamic University Jakarta</w:t>
      </w:r>
    </w:p>
    <w:p w14:paraId="0665754B" w14:textId="275F4B78" w:rsidR="00BA6CA3" w:rsidRPr="00625263" w:rsidRDefault="00BA6CA3" w:rsidP="00BA6CA3">
      <w:pPr>
        <w:jc w:val="both"/>
        <w:rPr>
          <w:rFonts w:ascii="Garamond" w:hAnsi="Garamond"/>
          <w:b/>
          <w:bCs/>
        </w:rPr>
      </w:pPr>
      <w:proofErr w:type="spellStart"/>
      <w:r>
        <w:rPr>
          <w:rFonts w:ascii="Garamond" w:hAnsi="Garamond"/>
          <w:b/>
          <w:bCs/>
        </w:rPr>
        <w:t>Murdiyah</w:t>
      </w:r>
      <w:proofErr w:type="spellEnd"/>
      <w:r>
        <w:rPr>
          <w:rFonts w:ascii="Garamond" w:hAnsi="Garamond"/>
          <w:b/>
          <w:bCs/>
        </w:rPr>
        <w:t xml:space="preserve"> Hayati</w:t>
      </w:r>
    </w:p>
    <w:p w14:paraId="43911F6B" w14:textId="1FD7CC73" w:rsidR="00597379" w:rsidRDefault="00031F20" w:rsidP="00721E64">
      <w:pPr>
        <w:spacing w:after="200"/>
        <w:jc w:val="both"/>
        <w:rPr>
          <w:rFonts w:ascii="Garamond" w:hAnsi="Garamond"/>
        </w:rPr>
      </w:pPr>
      <w:r>
        <w:rPr>
          <w:rFonts w:ascii="Garamond" w:hAnsi="Garamond"/>
        </w:rPr>
        <w:t xml:space="preserve">Alvin Rezki Kurniawan is affiliated with </w:t>
      </w:r>
      <w:proofErr w:type="spellStart"/>
      <w:r w:rsidR="00721E64" w:rsidRPr="00721E64">
        <w:rPr>
          <w:rFonts w:ascii="Garamond" w:hAnsi="Garamond"/>
        </w:rPr>
        <w:t>Syarif</w:t>
      </w:r>
      <w:proofErr w:type="spellEnd"/>
      <w:r w:rsidR="00721E64" w:rsidRPr="00721E64">
        <w:rPr>
          <w:rFonts w:ascii="Garamond" w:hAnsi="Garamond"/>
        </w:rPr>
        <w:t xml:space="preserve"> Hidayatullah State Islamic University Jakarta</w:t>
      </w:r>
    </w:p>
    <w:p w14:paraId="46E19899" w14:textId="77777777" w:rsidR="00BA6CA3" w:rsidRPr="00721E64" w:rsidRDefault="00BA6CA3" w:rsidP="00721E64">
      <w:pPr>
        <w:spacing w:after="200"/>
        <w:jc w:val="both"/>
        <w:rPr>
          <w:rFonts w:ascii="Garamond" w:hAnsi="Garamond"/>
        </w:rPr>
      </w:pPr>
    </w:p>
    <w:p w14:paraId="33BD145D" w14:textId="77777777" w:rsidR="00597379" w:rsidRDefault="00597379" w:rsidP="00597379">
      <w:pPr>
        <w:contextualSpacing/>
        <w:jc w:val="both"/>
        <w:rPr>
          <w:rFonts w:ascii="Garamond" w:hAnsi="Garamond"/>
          <w:b/>
          <w:bCs/>
        </w:rPr>
      </w:pPr>
    </w:p>
    <w:p w14:paraId="0FA113CD" w14:textId="77777777" w:rsidR="00597379" w:rsidRDefault="00597379" w:rsidP="00597379">
      <w:pPr>
        <w:contextualSpacing/>
        <w:jc w:val="both"/>
        <w:rPr>
          <w:rFonts w:ascii="Garamond" w:hAnsi="Garamond"/>
          <w:b/>
          <w:bCs/>
        </w:rPr>
      </w:pPr>
    </w:p>
    <w:p w14:paraId="65B905BD" w14:textId="60113DAF" w:rsidR="000A725F" w:rsidRDefault="00B315F0" w:rsidP="0054120A">
      <w:pPr>
        <w:contextualSpacing/>
        <w:jc w:val="both"/>
        <w:rPr>
          <w:rFonts w:ascii="Garamond" w:hAnsi="Garamond"/>
          <w:b/>
          <w:bCs/>
        </w:rPr>
      </w:pPr>
      <w:r w:rsidRPr="000A725F">
        <w:rPr>
          <w:rFonts w:ascii="Garamond" w:hAnsi="Garamond"/>
          <w:b/>
          <w:bCs/>
        </w:rPr>
        <w:t>REFERENCES</w:t>
      </w:r>
    </w:p>
    <w:p w14:paraId="24B0A13B" w14:textId="77777777" w:rsidR="00B315F0" w:rsidRDefault="00B315F0" w:rsidP="0054120A">
      <w:pPr>
        <w:contextualSpacing/>
        <w:jc w:val="both"/>
        <w:rPr>
          <w:rFonts w:ascii="Garamond" w:hAnsi="Garamond"/>
          <w:b/>
          <w:bCs/>
        </w:rPr>
      </w:pPr>
    </w:p>
    <w:p w14:paraId="6FDF41B3" w14:textId="77777777" w:rsidR="003468D9" w:rsidRPr="002C5E1B" w:rsidRDefault="003468D9" w:rsidP="002C5E1B">
      <w:pPr>
        <w:pStyle w:val="Bibliography"/>
        <w:spacing w:line="240" w:lineRule="auto"/>
        <w:jc w:val="both"/>
        <w:rPr>
          <w:rFonts w:ascii="Garamond" w:hAnsi="Garamond"/>
        </w:rPr>
      </w:pPr>
      <w:r w:rsidRPr="002C5E1B">
        <w:rPr>
          <w:rFonts w:ascii="Garamond" w:hAnsi="Garamond"/>
          <w:lang w:val="id-ID"/>
        </w:rPr>
        <w:fldChar w:fldCharType="begin"/>
      </w:r>
      <w:r w:rsidRPr="002C5E1B">
        <w:rPr>
          <w:rFonts w:ascii="Garamond" w:hAnsi="Garamond"/>
          <w:lang w:val="id-ID"/>
        </w:rPr>
        <w:instrText xml:space="preserve"> ADDIN ZOTERO_BIBL {"uncited":[],"omitted":[],"custom":[]} CSL_BIBLIOGRAPHY </w:instrText>
      </w:r>
      <w:r w:rsidRPr="002C5E1B">
        <w:rPr>
          <w:rFonts w:ascii="Garamond" w:hAnsi="Garamond"/>
          <w:lang w:val="id-ID"/>
        </w:rPr>
        <w:fldChar w:fldCharType="separate"/>
      </w:r>
      <w:r w:rsidRPr="002C5E1B">
        <w:rPr>
          <w:rFonts w:ascii="Garamond" w:hAnsi="Garamond"/>
        </w:rPr>
        <w:t xml:space="preserve">Abdul Halim. (2015). </w:t>
      </w:r>
      <w:r w:rsidRPr="002C5E1B">
        <w:rPr>
          <w:rFonts w:ascii="Garamond" w:hAnsi="Garamond"/>
          <w:i/>
          <w:iCs/>
        </w:rPr>
        <w:t>Analisis Investasi di Aset Keuangan</w:t>
      </w:r>
      <w:r w:rsidRPr="002C5E1B">
        <w:rPr>
          <w:rFonts w:ascii="Garamond" w:hAnsi="Garamond"/>
        </w:rPr>
        <w:t>. Mitra Wacana Media.</w:t>
      </w:r>
    </w:p>
    <w:p w14:paraId="62E861B1" w14:textId="3B6E92E8"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Aldaba, R. (2025). </w:t>
      </w:r>
      <w:r w:rsidRPr="002C5E1B">
        <w:rPr>
          <w:rFonts w:ascii="Garamond" w:hAnsi="Garamond"/>
          <w:i/>
          <w:iCs/>
        </w:rPr>
        <w:t>Navigating a New Era of Reciprocal Tariffs: Strategic Implications for the Philippines and Selected ASEAN Economies</w:t>
      </w:r>
      <w:r w:rsidRPr="002C5E1B">
        <w:rPr>
          <w:rFonts w:ascii="Garamond" w:hAnsi="Garamond"/>
        </w:rPr>
        <w:t xml:space="preserve">. Philippine Institute for Development Studies. </w:t>
      </w:r>
      <w:hyperlink r:id="rId13" w:history="1">
        <w:r w:rsidRPr="002C5E1B">
          <w:rPr>
            <w:rStyle w:val="Hyperlink"/>
            <w:rFonts w:ascii="Garamond" w:hAnsi="Garamond"/>
            <w:color w:val="4F81BD" w:themeColor="accent1"/>
            <w:u w:val="none"/>
          </w:rPr>
          <w:t>https://doi.org/10.62986/dp2025.06</w:t>
        </w:r>
      </w:hyperlink>
    </w:p>
    <w:p w14:paraId="07F8B246" w14:textId="39EDA69D"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Brown, S. J., &amp; Warner, J. B. (1980). Measuring security price performance. </w:t>
      </w:r>
      <w:r w:rsidRPr="002C5E1B">
        <w:rPr>
          <w:rFonts w:ascii="Garamond" w:hAnsi="Garamond"/>
          <w:i/>
          <w:iCs/>
        </w:rPr>
        <w:t>Journal of Financial Economics</w:t>
      </w:r>
      <w:r w:rsidRPr="002C5E1B">
        <w:rPr>
          <w:rFonts w:ascii="Garamond" w:hAnsi="Garamond"/>
        </w:rPr>
        <w:t xml:space="preserve">, </w:t>
      </w:r>
      <w:r w:rsidRPr="002C5E1B">
        <w:rPr>
          <w:rFonts w:ascii="Garamond" w:hAnsi="Garamond"/>
          <w:i/>
          <w:iCs/>
        </w:rPr>
        <w:t>8</w:t>
      </w:r>
      <w:r w:rsidRPr="002C5E1B">
        <w:rPr>
          <w:rFonts w:ascii="Garamond" w:hAnsi="Garamond"/>
        </w:rPr>
        <w:t xml:space="preserve">(3), 205–258. </w:t>
      </w:r>
      <w:hyperlink r:id="rId14" w:history="1">
        <w:r w:rsidRPr="002C5E1B">
          <w:rPr>
            <w:rStyle w:val="Hyperlink"/>
            <w:rFonts w:ascii="Garamond" w:hAnsi="Garamond"/>
            <w:color w:val="4F81BD" w:themeColor="accent1"/>
            <w:u w:val="none"/>
          </w:rPr>
          <w:t>https://doi.org/10.1016/0304-405X(80)90002-1</w:t>
        </w:r>
      </w:hyperlink>
    </w:p>
    <w:p w14:paraId="6ADBDB47" w14:textId="3041D545"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Buigut, S., &amp; Kapar, B. (2020). Effect of Qatar diplomatic and economic isolation on GCC stock markets: An event study approach. </w:t>
      </w:r>
      <w:r w:rsidRPr="002C5E1B">
        <w:rPr>
          <w:rFonts w:ascii="Garamond" w:hAnsi="Garamond"/>
          <w:i/>
          <w:iCs/>
        </w:rPr>
        <w:t>Finance Research Letters</w:t>
      </w:r>
      <w:r w:rsidRPr="002C5E1B">
        <w:rPr>
          <w:rFonts w:ascii="Garamond" w:hAnsi="Garamond"/>
        </w:rPr>
        <w:t xml:space="preserve">, </w:t>
      </w:r>
      <w:r w:rsidRPr="002C5E1B">
        <w:rPr>
          <w:rFonts w:ascii="Garamond" w:hAnsi="Garamond"/>
          <w:i/>
          <w:iCs/>
        </w:rPr>
        <w:t>37</w:t>
      </w:r>
      <w:r w:rsidRPr="002C5E1B">
        <w:rPr>
          <w:rFonts w:ascii="Garamond" w:hAnsi="Garamond"/>
        </w:rPr>
        <w:t xml:space="preserve">, 101352. </w:t>
      </w:r>
      <w:hyperlink r:id="rId15" w:history="1">
        <w:r w:rsidRPr="002C5E1B">
          <w:rPr>
            <w:rStyle w:val="Hyperlink"/>
            <w:rFonts w:ascii="Garamond" w:hAnsi="Garamond"/>
            <w:color w:val="4F81BD" w:themeColor="accent1"/>
            <w:u w:val="none"/>
          </w:rPr>
          <w:t>https://doi.org/10.1016/j.frl.2019.101352</w:t>
        </w:r>
      </w:hyperlink>
    </w:p>
    <w:p w14:paraId="0F78274F" w14:textId="7758BB54"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Chad P. Bown. (2022, October 20). Four years into the trade war, are the US and China decoupling? </w:t>
      </w:r>
      <w:r w:rsidRPr="002C5E1B">
        <w:rPr>
          <w:rFonts w:ascii="Garamond" w:hAnsi="Garamond"/>
          <w:i/>
          <w:iCs/>
        </w:rPr>
        <w:t>Peterson Institute For International Economics</w:t>
      </w:r>
      <w:r w:rsidRPr="002C5E1B">
        <w:rPr>
          <w:rFonts w:ascii="Garamond" w:hAnsi="Garamond"/>
        </w:rPr>
        <w:t xml:space="preserve">. </w:t>
      </w:r>
      <w:hyperlink r:id="rId16" w:history="1">
        <w:r w:rsidRPr="002C5E1B">
          <w:rPr>
            <w:rStyle w:val="Hyperlink"/>
            <w:rFonts w:ascii="Garamond" w:hAnsi="Garamond"/>
            <w:color w:val="4F81BD" w:themeColor="accent1"/>
            <w:u w:val="none"/>
          </w:rPr>
          <w:t>https://www.piie.com/blogs/realtime-economics/2022/four-years-trade-war-are-us-and-china-decoupling</w:t>
        </w:r>
      </w:hyperlink>
    </w:p>
    <w:p w14:paraId="0F88C690" w14:textId="729E7A67"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Cocozza, R., &amp; Gallo, S. (2025). Firm-level reactions to trade policy risk: Evidence from the S&amp;P 500. </w:t>
      </w:r>
      <w:r w:rsidRPr="002C5E1B">
        <w:rPr>
          <w:rFonts w:ascii="Garamond" w:hAnsi="Garamond"/>
          <w:i/>
          <w:iCs/>
        </w:rPr>
        <w:t>Economics Letters</w:t>
      </w:r>
      <w:r w:rsidRPr="002C5E1B">
        <w:rPr>
          <w:rFonts w:ascii="Garamond" w:hAnsi="Garamond"/>
        </w:rPr>
        <w:t xml:space="preserve">, </w:t>
      </w:r>
      <w:r w:rsidRPr="002C5E1B">
        <w:rPr>
          <w:rFonts w:ascii="Garamond" w:hAnsi="Garamond"/>
          <w:i/>
          <w:iCs/>
        </w:rPr>
        <w:t>257</w:t>
      </w:r>
      <w:r w:rsidRPr="002C5E1B">
        <w:rPr>
          <w:rFonts w:ascii="Garamond" w:hAnsi="Garamond"/>
        </w:rPr>
        <w:t xml:space="preserve">, 112647. </w:t>
      </w:r>
      <w:hyperlink r:id="rId17" w:history="1">
        <w:r w:rsidRPr="002C5E1B">
          <w:rPr>
            <w:rStyle w:val="Hyperlink"/>
            <w:rFonts w:ascii="Garamond" w:hAnsi="Garamond"/>
            <w:color w:val="4F81BD" w:themeColor="accent1"/>
            <w:u w:val="none"/>
          </w:rPr>
          <w:t>https://doi.org/10.1016/j.econlet.2025.112647</w:t>
        </w:r>
      </w:hyperlink>
    </w:p>
    <w:p w14:paraId="0D363305" w14:textId="4BB37908"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Fama, E. F. (1970). Efficient Capital Markets: A Review of Theory and Empirical Work. </w:t>
      </w:r>
      <w:r w:rsidRPr="002C5E1B">
        <w:rPr>
          <w:rFonts w:ascii="Garamond" w:hAnsi="Garamond"/>
          <w:i/>
          <w:iCs/>
        </w:rPr>
        <w:t>The Journal of Finance</w:t>
      </w:r>
      <w:r w:rsidRPr="002C5E1B">
        <w:rPr>
          <w:rFonts w:ascii="Garamond" w:hAnsi="Garamond"/>
        </w:rPr>
        <w:t xml:space="preserve">, </w:t>
      </w:r>
      <w:r w:rsidRPr="002C5E1B">
        <w:rPr>
          <w:rFonts w:ascii="Garamond" w:hAnsi="Garamond"/>
          <w:i/>
          <w:iCs/>
        </w:rPr>
        <w:t>25</w:t>
      </w:r>
      <w:r w:rsidRPr="002C5E1B">
        <w:rPr>
          <w:rFonts w:ascii="Garamond" w:hAnsi="Garamond"/>
        </w:rPr>
        <w:t xml:space="preserve">(2), 383. </w:t>
      </w:r>
      <w:hyperlink r:id="rId18" w:history="1">
        <w:r w:rsidRPr="002C5E1B">
          <w:rPr>
            <w:rStyle w:val="Hyperlink"/>
            <w:rFonts w:ascii="Garamond" w:hAnsi="Garamond"/>
            <w:color w:val="4F81BD" w:themeColor="accent1"/>
            <w:u w:val="none"/>
          </w:rPr>
          <w:t>https://doi.org/10.2307/2325486</w:t>
        </w:r>
      </w:hyperlink>
    </w:p>
    <w:p w14:paraId="734FFCD6" w14:textId="3B7D2EAE"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Kaczmarek, T., Demir, E., Rouatbi, W., &amp; Zaremba, A. (2025). Tariffs announcement as a global stress test: Early stock market reactions to U.S. protectionism. </w:t>
      </w:r>
      <w:r w:rsidRPr="002C5E1B">
        <w:rPr>
          <w:rFonts w:ascii="Garamond" w:hAnsi="Garamond"/>
          <w:i/>
          <w:iCs/>
        </w:rPr>
        <w:t>Finance Research Letters</w:t>
      </w:r>
      <w:r w:rsidRPr="002C5E1B">
        <w:rPr>
          <w:rFonts w:ascii="Garamond" w:hAnsi="Garamond"/>
        </w:rPr>
        <w:t xml:space="preserve">, </w:t>
      </w:r>
      <w:r w:rsidRPr="002C5E1B">
        <w:rPr>
          <w:rFonts w:ascii="Garamond" w:hAnsi="Garamond"/>
          <w:i/>
          <w:iCs/>
        </w:rPr>
        <w:t>85</w:t>
      </w:r>
      <w:r w:rsidRPr="002C5E1B">
        <w:rPr>
          <w:rFonts w:ascii="Garamond" w:hAnsi="Garamond"/>
        </w:rPr>
        <w:t xml:space="preserve">, 108080. </w:t>
      </w:r>
      <w:hyperlink r:id="rId19" w:history="1">
        <w:r w:rsidRPr="002C5E1B">
          <w:rPr>
            <w:rStyle w:val="Hyperlink"/>
            <w:rFonts w:ascii="Garamond" w:hAnsi="Garamond"/>
            <w:color w:val="4F81BD" w:themeColor="accent1"/>
            <w:u w:val="none"/>
          </w:rPr>
          <w:t>https://doi.org/10.1016/j.frl.2025.108080</w:t>
        </w:r>
      </w:hyperlink>
    </w:p>
    <w:p w14:paraId="5EA39C85" w14:textId="6F4A79BC"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Kapar, B., Buigut, S., &amp; Billah, S. M. (2025). The short-term reaction of financial markets to the U.S. trade tariff announcement. </w:t>
      </w:r>
      <w:r w:rsidRPr="002C5E1B">
        <w:rPr>
          <w:rFonts w:ascii="Garamond" w:hAnsi="Garamond"/>
          <w:i/>
          <w:iCs/>
        </w:rPr>
        <w:t>Finance Research Letters</w:t>
      </w:r>
      <w:r w:rsidRPr="002C5E1B">
        <w:rPr>
          <w:rFonts w:ascii="Garamond" w:hAnsi="Garamond"/>
        </w:rPr>
        <w:t xml:space="preserve">, </w:t>
      </w:r>
      <w:r w:rsidRPr="002C5E1B">
        <w:rPr>
          <w:rFonts w:ascii="Garamond" w:hAnsi="Garamond"/>
          <w:i/>
          <w:iCs/>
        </w:rPr>
        <w:t>86</w:t>
      </w:r>
      <w:r w:rsidRPr="002C5E1B">
        <w:rPr>
          <w:rFonts w:ascii="Garamond" w:hAnsi="Garamond"/>
        </w:rPr>
        <w:t xml:space="preserve">, 108452. </w:t>
      </w:r>
      <w:hyperlink r:id="rId20" w:history="1">
        <w:r w:rsidRPr="002C5E1B">
          <w:rPr>
            <w:rStyle w:val="Hyperlink"/>
            <w:rFonts w:ascii="Garamond" w:hAnsi="Garamond"/>
            <w:color w:val="4F81BD" w:themeColor="accent1"/>
            <w:u w:val="none"/>
          </w:rPr>
          <w:t>https://doi.org/10.1016/j.frl.2025.108452</w:t>
        </w:r>
      </w:hyperlink>
    </w:p>
    <w:p w14:paraId="45B8810B" w14:textId="7983A166"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Kothari, S. P., &amp; Warner, J. B. (2007). Econometrics of Event Studies. In </w:t>
      </w:r>
      <w:r w:rsidRPr="002C5E1B">
        <w:rPr>
          <w:rFonts w:ascii="Garamond" w:hAnsi="Garamond"/>
          <w:i/>
          <w:iCs/>
        </w:rPr>
        <w:t>Handbook of Empirical Corporate Finance</w:t>
      </w:r>
      <w:r w:rsidRPr="002C5E1B">
        <w:rPr>
          <w:rFonts w:ascii="Garamond" w:hAnsi="Garamond"/>
        </w:rPr>
        <w:t xml:space="preserve"> (pp. 3–36). Elsevier. </w:t>
      </w:r>
      <w:hyperlink r:id="rId21" w:history="1">
        <w:r w:rsidRPr="002C5E1B">
          <w:rPr>
            <w:rStyle w:val="Hyperlink"/>
            <w:rFonts w:ascii="Garamond" w:hAnsi="Garamond"/>
            <w:color w:val="4F81BD" w:themeColor="accent1"/>
            <w:u w:val="none"/>
          </w:rPr>
          <w:t>https://doi.org/10.1016/B978-0-444-53265-7.50015-9</w:t>
        </w:r>
      </w:hyperlink>
    </w:p>
    <w:p w14:paraId="523B5DF5" w14:textId="2F427525"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MacKinlay, A. C. (1997). Event Studies in Economics and Finance. </w:t>
      </w:r>
      <w:r w:rsidRPr="002C5E1B">
        <w:rPr>
          <w:rFonts w:ascii="Garamond" w:hAnsi="Garamond"/>
          <w:i/>
          <w:iCs/>
        </w:rPr>
        <w:t>Journal of Economic Literature</w:t>
      </w:r>
      <w:r w:rsidRPr="002C5E1B">
        <w:rPr>
          <w:rFonts w:ascii="Garamond" w:hAnsi="Garamond"/>
        </w:rPr>
        <w:t xml:space="preserve">, </w:t>
      </w:r>
      <w:r w:rsidRPr="002C5E1B">
        <w:rPr>
          <w:rFonts w:ascii="Garamond" w:hAnsi="Garamond"/>
          <w:i/>
          <w:iCs/>
        </w:rPr>
        <w:t>35</w:t>
      </w:r>
      <w:r w:rsidRPr="002C5E1B">
        <w:rPr>
          <w:rFonts w:ascii="Garamond" w:hAnsi="Garamond"/>
        </w:rPr>
        <w:t xml:space="preserve">(1), 13–39. </w:t>
      </w:r>
      <w:hyperlink r:id="rId22" w:history="1">
        <w:r w:rsidRPr="002C5E1B">
          <w:rPr>
            <w:rStyle w:val="Hyperlink"/>
            <w:rFonts w:ascii="Garamond" w:hAnsi="Garamond"/>
            <w:color w:val="4F81BD" w:themeColor="accent1"/>
            <w:u w:val="none"/>
          </w:rPr>
          <w:t>http://www.jstor.org/stable/2729691</w:t>
        </w:r>
      </w:hyperlink>
    </w:p>
    <w:p w14:paraId="4A906D79" w14:textId="6A7D0C6C"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Malkiel, B. G. (1989). Efficient Market Hypothesis. In J. Eatwell, M. Milgate, &amp; P. Newman (Eds.), </w:t>
      </w:r>
      <w:r w:rsidRPr="002C5E1B">
        <w:rPr>
          <w:rFonts w:ascii="Garamond" w:hAnsi="Garamond"/>
          <w:i/>
          <w:iCs/>
        </w:rPr>
        <w:t>Finance</w:t>
      </w:r>
      <w:r w:rsidRPr="002C5E1B">
        <w:rPr>
          <w:rFonts w:ascii="Garamond" w:hAnsi="Garamond"/>
        </w:rPr>
        <w:t xml:space="preserve"> (pp. 127–134). Palgrave Macmillan UK. </w:t>
      </w:r>
      <w:hyperlink r:id="rId23" w:history="1">
        <w:r w:rsidRPr="002C5E1B">
          <w:rPr>
            <w:rStyle w:val="Hyperlink"/>
            <w:rFonts w:ascii="Garamond" w:hAnsi="Garamond"/>
            <w:color w:val="4F81BD" w:themeColor="accent1"/>
            <w:u w:val="none"/>
          </w:rPr>
          <w:t>https://doi.org/10.1007/978-1-349-20213-3_13</w:t>
        </w:r>
      </w:hyperlink>
    </w:p>
    <w:p w14:paraId="21C4A342" w14:textId="77777777"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Mankiw, N. G. (2012). </w:t>
      </w:r>
      <w:r w:rsidRPr="002C5E1B">
        <w:rPr>
          <w:rFonts w:ascii="Garamond" w:hAnsi="Garamond"/>
          <w:i/>
          <w:iCs/>
        </w:rPr>
        <w:t>Macroeconomics</w:t>
      </w:r>
      <w:r w:rsidRPr="002C5E1B">
        <w:rPr>
          <w:rFonts w:ascii="Garamond" w:hAnsi="Garamond"/>
        </w:rPr>
        <w:t xml:space="preserve"> (8. ed., international ed). Worth Publishers.</w:t>
      </w:r>
    </w:p>
    <w:p w14:paraId="0FB7EED3" w14:textId="114BBB31"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Naseer, M., &amp; Yasir, Dr. Y. (2015). The Efficient Market Hypothesis: A Critical Review of the Literature. </w:t>
      </w:r>
      <w:r w:rsidRPr="002C5E1B">
        <w:rPr>
          <w:rFonts w:ascii="Garamond" w:hAnsi="Garamond"/>
          <w:i/>
          <w:iCs/>
        </w:rPr>
        <w:t>The IUP Journal of Financial Risk Management</w:t>
      </w:r>
      <w:r w:rsidRPr="002C5E1B">
        <w:rPr>
          <w:rFonts w:ascii="Garamond" w:hAnsi="Garamond"/>
        </w:rPr>
        <w:t xml:space="preserve">. </w:t>
      </w:r>
      <w:hyperlink r:id="rId24" w:history="1">
        <w:r w:rsidRPr="002C5E1B">
          <w:rPr>
            <w:rStyle w:val="Hyperlink"/>
            <w:rFonts w:ascii="Garamond" w:hAnsi="Garamond"/>
            <w:color w:val="4F81BD" w:themeColor="accent1"/>
            <w:u w:val="none"/>
          </w:rPr>
          <w:t>https://ssrn.com/abstract=2714844</w:t>
        </w:r>
      </w:hyperlink>
    </w:p>
    <w:p w14:paraId="1E51D1F2" w14:textId="29587CD9"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Ozili, P. K. (2025). </w:t>
      </w:r>
      <w:r w:rsidRPr="002C5E1B">
        <w:rPr>
          <w:rFonts w:ascii="Garamond" w:hAnsi="Garamond"/>
          <w:i/>
          <w:iCs/>
        </w:rPr>
        <w:t>Impact of Retaliatory Trade Tariff on the Global Economy: How Liberation Day Tariff Affects the World, Europe, Africa and Asia</w:t>
      </w:r>
      <w:r w:rsidRPr="002C5E1B">
        <w:rPr>
          <w:rFonts w:ascii="Garamond" w:hAnsi="Garamond"/>
        </w:rPr>
        <w:t xml:space="preserve">. SSRN. </w:t>
      </w:r>
      <w:hyperlink r:id="rId25" w:history="1">
        <w:r w:rsidRPr="002C5E1B">
          <w:rPr>
            <w:rStyle w:val="Hyperlink"/>
            <w:rFonts w:ascii="Garamond" w:hAnsi="Garamond"/>
            <w:color w:val="4F81BD" w:themeColor="accent1"/>
            <w:u w:val="none"/>
          </w:rPr>
          <w:t>https://doi.org/10.2139/ssrn.5211851</w:t>
        </w:r>
      </w:hyperlink>
    </w:p>
    <w:p w14:paraId="43EFFAB8" w14:textId="23E4EA7C"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Peterson, P. P. (1989). Event Studies: A Review of Issues and Methodology. </w:t>
      </w:r>
      <w:r w:rsidRPr="002C5E1B">
        <w:rPr>
          <w:rFonts w:ascii="Garamond" w:hAnsi="Garamond"/>
          <w:i/>
          <w:iCs/>
        </w:rPr>
        <w:t>Quarterly Journal of Business and Economics</w:t>
      </w:r>
      <w:r w:rsidRPr="002C5E1B">
        <w:rPr>
          <w:rFonts w:ascii="Garamond" w:hAnsi="Garamond"/>
        </w:rPr>
        <w:t xml:space="preserve">, </w:t>
      </w:r>
      <w:r w:rsidRPr="002C5E1B">
        <w:rPr>
          <w:rFonts w:ascii="Garamond" w:hAnsi="Garamond"/>
          <w:i/>
          <w:iCs/>
        </w:rPr>
        <w:t>28</w:t>
      </w:r>
      <w:r w:rsidRPr="002C5E1B">
        <w:rPr>
          <w:rFonts w:ascii="Garamond" w:hAnsi="Garamond"/>
        </w:rPr>
        <w:t xml:space="preserve">(3), 36–66. </w:t>
      </w:r>
      <w:hyperlink r:id="rId26" w:history="1">
        <w:r w:rsidRPr="002C5E1B">
          <w:rPr>
            <w:rStyle w:val="Hyperlink"/>
            <w:rFonts w:ascii="Garamond" w:hAnsi="Garamond"/>
            <w:color w:val="4F81BD" w:themeColor="accent1"/>
            <w:u w:val="none"/>
          </w:rPr>
          <w:t>http://www.jstor.org/stable/40472954</w:t>
        </w:r>
      </w:hyperlink>
    </w:p>
    <w:p w14:paraId="68723B75" w14:textId="77777777"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Prof. Dr. Eduardus Tandelilin, MBA, CWM, CSA. (2017). </w:t>
      </w:r>
      <w:r w:rsidRPr="002C5E1B">
        <w:rPr>
          <w:rFonts w:ascii="Garamond" w:hAnsi="Garamond"/>
          <w:i/>
          <w:iCs/>
        </w:rPr>
        <w:t>Pasar Modal: Manajemen Portofolio Investasi</w:t>
      </w:r>
      <w:r w:rsidRPr="002C5E1B">
        <w:rPr>
          <w:rFonts w:ascii="Garamond" w:hAnsi="Garamond"/>
        </w:rPr>
        <w:t>. PT Kanisius.</w:t>
      </w:r>
    </w:p>
    <w:p w14:paraId="015FF6D0" w14:textId="19CD377C"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Rao, A., Lucey, B., &amp; Kumar, S. (2025). Financial market reactions to U.S. tariff announcements: Evidence from trade-surplus and trade-deficit countries. </w:t>
      </w:r>
      <w:r w:rsidRPr="002C5E1B">
        <w:rPr>
          <w:rFonts w:ascii="Garamond" w:hAnsi="Garamond"/>
          <w:i/>
          <w:iCs/>
        </w:rPr>
        <w:t>Finance Research Letters</w:t>
      </w:r>
      <w:r w:rsidRPr="002C5E1B">
        <w:rPr>
          <w:rFonts w:ascii="Garamond" w:hAnsi="Garamond"/>
        </w:rPr>
        <w:t xml:space="preserve">, </w:t>
      </w:r>
      <w:r w:rsidRPr="002C5E1B">
        <w:rPr>
          <w:rFonts w:ascii="Garamond" w:hAnsi="Garamond"/>
          <w:i/>
          <w:iCs/>
        </w:rPr>
        <w:t>81</w:t>
      </w:r>
      <w:r w:rsidRPr="002C5E1B">
        <w:rPr>
          <w:rFonts w:ascii="Garamond" w:hAnsi="Garamond"/>
        </w:rPr>
        <w:t xml:space="preserve">, 107465. </w:t>
      </w:r>
      <w:hyperlink r:id="rId27" w:history="1">
        <w:r w:rsidRPr="002C5E1B">
          <w:rPr>
            <w:rStyle w:val="Hyperlink"/>
            <w:rFonts w:ascii="Garamond" w:hAnsi="Garamond"/>
            <w:color w:val="4F81BD" w:themeColor="accent1"/>
            <w:u w:val="none"/>
          </w:rPr>
          <w:t>https://doi.org/10.1016/j.frl.2025.107465</w:t>
        </w:r>
      </w:hyperlink>
    </w:p>
    <w:p w14:paraId="598C2DFA" w14:textId="77777777" w:rsidR="003468D9" w:rsidRPr="002C5E1B" w:rsidRDefault="003468D9" w:rsidP="002C5E1B">
      <w:pPr>
        <w:pStyle w:val="Bibliography"/>
        <w:spacing w:line="240" w:lineRule="auto"/>
        <w:jc w:val="both"/>
        <w:rPr>
          <w:rFonts w:ascii="Garamond" w:hAnsi="Garamond"/>
        </w:rPr>
      </w:pPr>
      <w:r w:rsidRPr="002C5E1B">
        <w:rPr>
          <w:rFonts w:ascii="Garamond" w:hAnsi="Garamond"/>
        </w:rPr>
        <w:t xml:space="preserve">T. Renald Suganda. (2018). </w:t>
      </w:r>
      <w:r w:rsidRPr="002C5E1B">
        <w:rPr>
          <w:rFonts w:ascii="Garamond" w:hAnsi="Garamond"/>
          <w:i/>
          <w:iCs/>
        </w:rPr>
        <w:t>Event Study Teori dan Pembahasan Reaksi Pasar Modal Indonesia</w:t>
      </w:r>
      <w:r w:rsidRPr="002C5E1B">
        <w:rPr>
          <w:rFonts w:ascii="Garamond" w:hAnsi="Garamond"/>
        </w:rPr>
        <w:t xml:space="preserve"> (Pertama). CV. Seribu Bintang.</w:t>
      </w:r>
    </w:p>
    <w:p w14:paraId="71CCB44C" w14:textId="4C4036AB" w:rsidR="003468D9" w:rsidRPr="002C5E1B" w:rsidRDefault="003468D9" w:rsidP="002C5E1B">
      <w:pPr>
        <w:pStyle w:val="Bibliography"/>
        <w:spacing w:line="240" w:lineRule="auto"/>
        <w:jc w:val="both"/>
        <w:rPr>
          <w:rFonts w:ascii="Garamond" w:hAnsi="Garamond"/>
        </w:rPr>
      </w:pPr>
      <w:r w:rsidRPr="002C5E1B">
        <w:rPr>
          <w:rFonts w:ascii="Garamond" w:hAnsi="Garamond"/>
        </w:rPr>
        <w:lastRenderedPageBreak/>
        <w:t xml:space="preserve">Wengerek, S. T., Uhde, A., &amp; Hippert, B. (2025). Share price reactions to tariff imposition announcements during the first Trump administration. </w:t>
      </w:r>
      <w:r w:rsidRPr="002C5E1B">
        <w:rPr>
          <w:rFonts w:ascii="Garamond" w:hAnsi="Garamond"/>
          <w:i/>
          <w:iCs/>
        </w:rPr>
        <w:t>Finance Research Letters</w:t>
      </w:r>
      <w:r w:rsidRPr="002C5E1B">
        <w:rPr>
          <w:rFonts w:ascii="Garamond" w:hAnsi="Garamond"/>
        </w:rPr>
        <w:t xml:space="preserve">, </w:t>
      </w:r>
      <w:r w:rsidRPr="002C5E1B">
        <w:rPr>
          <w:rFonts w:ascii="Garamond" w:hAnsi="Garamond"/>
          <w:i/>
          <w:iCs/>
        </w:rPr>
        <w:t>80</w:t>
      </w:r>
      <w:r w:rsidRPr="002C5E1B">
        <w:rPr>
          <w:rFonts w:ascii="Garamond" w:hAnsi="Garamond"/>
        </w:rPr>
        <w:t xml:space="preserve">, 107381. </w:t>
      </w:r>
      <w:hyperlink r:id="rId28" w:history="1">
        <w:r w:rsidRPr="002C5E1B">
          <w:rPr>
            <w:rStyle w:val="Hyperlink"/>
            <w:rFonts w:ascii="Garamond" w:hAnsi="Garamond"/>
            <w:color w:val="4F81BD" w:themeColor="accent1"/>
            <w:u w:val="none"/>
          </w:rPr>
          <w:t>https://doi.org/10.1016/j.frl.2025.107381</w:t>
        </w:r>
      </w:hyperlink>
    </w:p>
    <w:p w14:paraId="1D1B4646" w14:textId="727039D5" w:rsidR="00F86CB6" w:rsidRPr="002C5E1B" w:rsidRDefault="003468D9" w:rsidP="002C5E1B">
      <w:pPr>
        <w:ind w:right="107"/>
        <w:contextualSpacing/>
        <w:jc w:val="both"/>
        <w:rPr>
          <w:rFonts w:ascii="Garamond" w:hAnsi="Garamond"/>
          <w:lang w:val="id-ID"/>
        </w:rPr>
      </w:pPr>
      <w:r w:rsidRPr="002C5E1B">
        <w:rPr>
          <w:rFonts w:ascii="Garamond" w:hAnsi="Garamond"/>
          <w:lang w:val="id-ID"/>
        </w:rPr>
        <w:fldChar w:fldCharType="end"/>
      </w:r>
    </w:p>
    <w:sectPr w:rsidR="00F86CB6" w:rsidRPr="002C5E1B" w:rsidSect="006F6845">
      <w:headerReference w:type="default" r:id="rId29"/>
      <w:footerReference w:type="even" r:id="rId30"/>
      <w:footerReference w:type="default" r:id="rId31"/>
      <w:headerReference w:type="first" r:id="rId32"/>
      <w:footerReference w:type="first" r:id="rId33"/>
      <w:pgSz w:w="11900" w:h="16840" w:code="9"/>
      <w:pgMar w:top="1440" w:right="1440" w:bottom="1440" w:left="1440"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2B0C" w14:textId="77777777" w:rsidR="00AD3059" w:rsidRDefault="00AD3059" w:rsidP="00840130">
      <w:r>
        <w:separator/>
      </w:r>
    </w:p>
  </w:endnote>
  <w:endnote w:type="continuationSeparator" w:id="0">
    <w:p w14:paraId="29517477" w14:textId="77777777" w:rsidR="00AD3059" w:rsidRDefault="00AD3059" w:rsidP="0084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636098"/>
      <w:docPartObj>
        <w:docPartGallery w:val="Page Numbers (Bottom of Page)"/>
        <w:docPartUnique/>
      </w:docPartObj>
    </w:sdtPr>
    <w:sdtContent>
      <w:p w14:paraId="1CCAEE04" w14:textId="2014F3C0"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27A3FD" w14:textId="77777777" w:rsidR="00BD6193" w:rsidRDefault="00BD6193" w:rsidP="00491AC2">
    <w:pPr>
      <w:pStyle w:val="Footer"/>
      <w:ind w:right="360"/>
    </w:pPr>
  </w:p>
  <w:p w14:paraId="01D69B3F" w14:textId="77777777" w:rsidR="00AA25DB" w:rsidRDefault="00AA25DB"/>
  <w:p w14:paraId="5E408B82" w14:textId="77777777" w:rsidR="00AA25DB" w:rsidRDefault="00AA25DB"/>
  <w:p w14:paraId="437AD694" w14:textId="77777777" w:rsidR="00AA25DB" w:rsidRDefault="00AA2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4295701"/>
      <w:docPartObj>
        <w:docPartGallery w:val="Page Numbers (Bottom of Page)"/>
        <w:docPartUnique/>
      </w:docPartObj>
    </w:sdtPr>
    <w:sdtContent>
      <w:p w14:paraId="3002AABC" w14:textId="79E99C45"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0538">
          <w:rPr>
            <w:rStyle w:val="PageNumber"/>
            <w:noProof/>
          </w:rPr>
          <w:t>64</w:t>
        </w:r>
        <w:r>
          <w:rPr>
            <w:rStyle w:val="PageNumber"/>
          </w:rPr>
          <w:fldChar w:fldCharType="end"/>
        </w:r>
      </w:p>
    </w:sdtContent>
  </w:sdt>
  <w:sdt>
    <w:sdtPr>
      <w:id w:val="1304193936"/>
      <w:docPartObj>
        <w:docPartGallery w:val="Page Numbers (Bottom of Page)"/>
        <w:docPartUnique/>
      </w:docPartObj>
    </w:sdtPr>
    <w:sdtEndPr>
      <w:rPr>
        <w:noProof/>
      </w:rPr>
    </w:sdtEndPr>
    <w:sdtContent>
      <w:p w14:paraId="3E9A5E93" w14:textId="133E273D" w:rsidR="00BD6193" w:rsidRDefault="00BD6193" w:rsidP="00491AC2">
        <w:pPr>
          <w:pStyle w:val="Footer"/>
          <w:ind w:right="360"/>
          <w:jc w:val="right"/>
          <w:rPr>
            <w:noProof/>
          </w:rPr>
        </w:pPr>
      </w:p>
      <w:p w14:paraId="1D58A965" w14:textId="230B64D2" w:rsidR="00AA25DB" w:rsidRPr="0044007A" w:rsidRDefault="00BD6193" w:rsidP="0044007A">
        <w:pPr>
          <w:pStyle w:val="Footer"/>
          <w:rPr>
            <w:lang w:val="id-ID"/>
          </w:rPr>
        </w:pPr>
        <w:r>
          <w:rPr>
            <w:lang w:val="id-ID"/>
          </w:rPr>
          <w:t xml:space="preserve">Volume </w:t>
        </w:r>
        <w:r>
          <w:t>4</w:t>
        </w:r>
        <w:r>
          <w:rPr>
            <w:lang w:val="id-ID"/>
          </w:rPr>
          <w:t xml:space="preserve">, Issue </w:t>
        </w:r>
        <w:r w:rsidR="000F780A">
          <w:rPr>
            <w:lang w:val="id-ID"/>
          </w:rPr>
          <w:t>1</w:t>
        </w:r>
        <w:r w:rsidR="00492D4C">
          <w:t>2</w:t>
        </w:r>
        <w:r w:rsidR="0022556F">
          <w:t>,</w:t>
        </w:r>
        <w:r>
          <w:t xml:space="preserve"> </w:t>
        </w:r>
        <w:r>
          <w:rPr>
            <w:lang w:val="id-ID"/>
          </w:rPr>
          <w:t xml:space="preserve">available at </w:t>
        </w:r>
        <w:r w:rsidR="003635E1" w:rsidRPr="003635E1">
          <w:rPr>
            <w:lang w:val="id-ID"/>
          </w:rPr>
          <w:t>https://journal.privietlab.org/index.php/</w:t>
        </w:r>
        <w:r w:rsidR="000F780A">
          <w:rPr>
            <w:lang w:val="id-ID"/>
          </w:rPr>
          <w:t>PSSJ</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E9BC" w14:textId="69C548F4" w:rsidR="00BD6193" w:rsidRPr="00C853C2" w:rsidRDefault="000A725F" w:rsidP="004B5EDE">
    <w:pPr>
      <w:pStyle w:val="Footer"/>
      <w:jc w:val="both"/>
    </w:pPr>
    <w:r w:rsidRPr="000A725F">
      <w:t xml:space="preserve"> </w:t>
    </w:r>
    <w:r w:rsidR="00C853C2" w:rsidRPr="00C853C2">
      <w:rPr>
        <w:noProof/>
      </w:rPr>
      <w:drawing>
        <wp:inline distT="0" distB="0" distL="0" distR="0" wp14:anchorId="4E92DD46" wp14:editId="69B23CB9">
          <wp:extent cx="838200" cy="298450"/>
          <wp:effectExtent l="0" t="0" r="0" b="6350"/>
          <wp:docPr id="141832578"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000F780A" w:rsidRPr="000F780A">
      <w:t xml:space="preserve"> </w:t>
    </w:r>
    <w:proofErr w:type="spellStart"/>
    <w:r w:rsidR="000F780A" w:rsidRPr="00893557">
      <w:t>Priviet</w:t>
    </w:r>
    <w:proofErr w:type="spellEnd"/>
    <w:r w:rsidR="000F780A" w:rsidRPr="00893557">
      <w:t xml:space="preserve"> Social Sciences Journal</w:t>
    </w:r>
    <w:r w:rsidR="000F780A" w:rsidRPr="00C853C2">
      <w:t> is licensed under a </w:t>
    </w:r>
    <w:hyperlink r:id="rId3" w:history="1">
      <w:r w:rsidR="000F780A" w:rsidRPr="00C853C2">
        <w:rPr>
          <w:rStyle w:val="Hyperlink"/>
          <w:color w:val="auto"/>
          <w:u w:val="none"/>
        </w:rPr>
        <w:t>Creative Commons Attribution 4.0 International License</w:t>
      </w:r>
    </w:hyperlink>
    <w:r w:rsidR="00C853C2" w:rsidRPr="00C853C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469C" w14:textId="77777777" w:rsidR="00AD3059" w:rsidRDefault="00AD3059" w:rsidP="00840130">
      <w:r>
        <w:separator/>
      </w:r>
    </w:p>
  </w:footnote>
  <w:footnote w:type="continuationSeparator" w:id="0">
    <w:p w14:paraId="01A60613" w14:textId="77777777" w:rsidR="00AD3059" w:rsidRDefault="00AD3059" w:rsidP="0084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8C0D" w14:textId="2030FD5D" w:rsidR="00AA25DB" w:rsidRPr="003635E1" w:rsidRDefault="000F780A" w:rsidP="003635E1">
    <w:pPr>
      <w:pStyle w:val="Header"/>
    </w:pPr>
    <w:r w:rsidRPr="000F780A">
      <w:rPr>
        <w:rFonts w:ascii="Garamond" w:hAnsi="Garamond"/>
        <w:b/>
        <w:bCs/>
        <w:i/>
        <w:iCs/>
        <w:lang w:val="id-ID"/>
      </w:rPr>
      <w:t>Priviet Social Sciences Journal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25D8" w14:textId="77777777" w:rsidR="000F780A" w:rsidRPr="000A725F" w:rsidRDefault="000F780A" w:rsidP="000F780A">
    <w:pPr>
      <w:pStyle w:val="Header"/>
      <w:rPr>
        <w:rFonts w:ascii="Garamond" w:hAnsi="Garamond"/>
        <w:b/>
        <w:bCs/>
        <w:i/>
        <w:iCs/>
      </w:rPr>
    </w:pPr>
    <w:r w:rsidRPr="00893557">
      <w:rPr>
        <w:rFonts w:ascii="Garamond" w:hAnsi="Garamond"/>
        <w:b/>
        <w:bCs/>
        <w:i/>
        <w:iCs/>
        <w:lang w:val="id-ID"/>
      </w:rPr>
      <w:t>Priviet Social Sciences Journal</w:t>
    </w:r>
    <w:r w:rsidRPr="000A725F">
      <w:rPr>
        <w:rFonts w:ascii="Garamond" w:hAnsi="Garamond"/>
        <w:b/>
        <w:bCs/>
        <w:i/>
        <w:iCs/>
        <w:lang w:val="id-ID"/>
      </w:rPr>
      <w:t xml:space="preserve"> </w:t>
    </w:r>
    <w:r w:rsidRPr="000A725F">
      <w:rPr>
        <w:rFonts w:ascii="Garamond" w:hAnsi="Garamond"/>
        <w:lang w:val="id-ID"/>
      </w:rPr>
      <w:tab/>
    </w:r>
    <w:r>
      <w:rPr>
        <w:rFonts w:ascii="Garamond" w:hAnsi="Garamond"/>
        <w:lang w:val="id-ID"/>
      </w:rPr>
      <w:tab/>
    </w:r>
    <w:r w:rsidRPr="000A725F">
      <w:rPr>
        <w:rFonts w:ascii="Garamond" w:hAnsi="Garamond"/>
        <w:lang w:val="id-ID"/>
      </w:rPr>
      <w:t xml:space="preserve">Volume </w:t>
    </w:r>
    <w:r w:rsidRPr="000A725F">
      <w:rPr>
        <w:rFonts w:ascii="Garamond" w:hAnsi="Garamond"/>
      </w:rPr>
      <w:t>4</w:t>
    </w:r>
  </w:p>
  <w:p w14:paraId="09F5B1DA" w14:textId="77777777" w:rsidR="000F780A" w:rsidRPr="000A725F" w:rsidRDefault="000F780A" w:rsidP="000F780A">
    <w:pPr>
      <w:pStyle w:val="Header"/>
      <w:rPr>
        <w:rFonts w:ascii="Garamond" w:hAnsi="Garamond"/>
      </w:rPr>
    </w:pPr>
    <w:r w:rsidRPr="000A725F">
      <w:rPr>
        <w:rFonts w:ascii="Garamond" w:hAnsi="Garamond"/>
        <w:lang w:val="id-ID"/>
      </w:rPr>
      <w:t xml:space="preserve">E-ISSN </w:t>
    </w:r>
    <w:r w:rsidRPr="00893557">
      <w:rPr>
        <w:rFonts w:ascii="Garamond" w:hAnsi="Garamond"/>
      </w:rPr>
      <w:t>2798-866X</w:t>
    </w:r>
    <w:r w:rsidRPr="000A725F">
      <w:rPr>
        <w:rFonts w:ascii="Garamond" w:hAnsi="Garamond"/>
        <w:lang w:val="id-ID"/>
      </w:rPr>
      <w:t xml:space="preserve"> </w:t>
    </w:r>
    <w:r w:rsidRPr="000A725F">
      <w:rPr>
        <w:rFonts w:ascii="Garamond" w:hAnsi="Garamond"/>
        <w:lang w:val="id-ID"/>
      </w:rPr>
      <w:tab/>
    </w:r>
    <w:r w:rsidRPr="000A725F">
      <w:rPr>
        <w:rFonts w:ascii="Garamond" w:hAnsi="Garamond"/>
        <w:lang w:val="id-ID"/>
      </w:rPr>
      <w:tab/>
      <w:t xml:space="preserve">Issue </w:t>
    </w:r>
    <w:r>
      <w:rPr>
        <w:rFonts w:ascii="Garamond" w:hAnsi="Garamond"/>
      </w:rPr>
      <w:t>12</w:t>
    </w:r>
  </w:p>
  <w:p w14:paraId="31B4BEA1" w14:textId="77777777" w:rsidR="000F780A" w:rsidRPr="000A725F" w:rsidRDefault="000F780A" w:rsidP="000F780A">
    <w:pPr>
      <w:pStyle w:val="Header"/>
      <w:rPr>
        <w:rFonts w:ascii="Garamond" w:hAnsi="Garamond"/>
      </w:rPr>
    </w:pPr>
    <w:r>
      <w:rPr>
        <w:rFonts w:ascii="Garamond" w:hAnsi="Garamond"/>
        <w:lang w:val="id-ID"/>
      </w:rPr>
      <w:t xml:space="preserve">P-ISSN </w:t>
    </w:r>
    <w:r w:rsidRPr="00893557">
      <w:rPr>
        <w:rFonts w:ascii="Garamond" w:hAnsi="Garamond"/>
      </w:rPr>
      <w:t>2798-6314</w:t>
    </w:r>
    <w:r w:rsidRPr="000A725F">
      <w:rPr>
        <w:rFonts w:ascii="Garamond" w:hAnsi="Garamond"/>
        <w:lang w:val="id-ID"/>
      </w:rPr>
      <w:tab/>
    </w:r>
    <w:r w:rsidRPr="000A725F">
      <w:rPr>
        <w:rFonts w:ascii="Garamond" w:hAnsi="Garamond"/>
        <w:lang w:val="id-ID"/>
      </w:rPr>
      <w:tab/>
    </w:r>
    <w:r>
      <w:rPr>
        <w:rFonts w:ascii="Garamond" w:hAnsi="Garamond"/>
      </w:rPr>
      <w:t>December</w:t>
    </w:r>
    <w:r w:rsidRPr="000A725F">
      <w:rPr>
        <w:rFonts w:ascii="Garamond" w:hAnsi="Garamond"/>
      </w:rPr>
      <w:t xml:space="preserve"> </w:t>
    </w:r>
    <w:r w:rsidRPr="000A725F">
      <w:rPr>
        <w:rFonts w:ascii="Garamond" w:hAnsi="Garamond"/>
        <w:lang w:val="id-ID"/>
      </w:rPr>
      <w:t>Edition 202</w:t>
    </w:r>
    <w:r>
      <w:rPr>
        <w:rFonts w:ascii="Garamond" w:hAnsi="Garamond"/>
      </w:rPr>
      <w:t>4</w:t>
    </w:r>
  </w:p>
  <w:p w14:paraId="12E623E0" w14:textId="7E01F66F" w:rsidR="00BD6193" w:rsidRPr="000F780A" w:rsidRDefault="000F780A" w:rsidP="000F780A">
    <w:pPr>
      <w:pStyle w:val="Header"/>
    </w:pPr>
    <w:r>
      <w:rPr>
        <w:rFonts w:ascii="Garamond" w:hAnsi="Garamond"/>
      </w:rPr>
      <w:t>DOI:</w:t>
    </w:r>
    <w:r w:rsidRPr="00014862">
      <w:rPr>
        <w:rFonts w:ascii="Garamond" w:hAnsi="Garamond"/>
      </w:rPr>
      <w:t>10.55942/</w:t>
    </w:r>
    <w:proofErr w:type="gramStart"/>
    <w:r w:rsidRPr="00014862">
      <w:rPr>
        <w:rFonts w:ascii="Garamond" w:hAnsi="Garamond"/>
      </w:rPr>
      <w:t>pssj.v</w:t>
    </w:r>
    <w:proofErr w:type="gramEnd"/>
    <w:r w:rsidRPr="00014862">
      <w:rPr>
        <w:rFonts w:ascii="Garamond" w:hAnsi="Garamond"/>
      </w:rPr>
      <w:t>4i12.347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33BA"/>
    <w:multiLevelType w:val="multilevel"/>
    <w:tmpl w:val="5780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D6759"/>
    <w:multiLevelType w:val="hybridMultilevel"/>
    <w:tmpl w:val="965E3C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8DE68A2"/>
    <w:multiLevelType w:val="multilevel"/>
    <w:tmpl w:val="BA3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81232"/>
    <w:multiLevelType w:val="hybridMultilevel"/>
    <w:tmpl w:val="4F6C76F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8633CF2"/>
    <w:multiLevelType w:val="hybridMultilevel"/>
    <w:tmpl w:val="A142E0FA"/>
    <w:lvl w:ilvl="0" w:tplc="6AACAC9C">
      <w:start w:val="2"/>
      <w:numFmt w:val="decimal"/>
      <w:lvlText w:val="%1.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1574728"/>
    <w:multiLevelType w:val="multilevel"/>
    <w:tmpl w:val="2A74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F1390"/>
    <w:multiLevelType w:val="multilevel"/>
    <w:tmpl w:val="559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08090F"/>
    <w:multiLevelType w:val="hybridMultilevel"/>
    <w:tmpl w:val="B394E8C0"/>
    <w:lvl w:ilvl="0" w:tplc="A3624DD4">
      <w:start w:val="1"/>
      <w:numFmt w:val="decimal"/>
      <w:lvlText w:val="%1.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1191B50"/>
    <w:multiLevelType w:val="hybridMultilevel"/>
    <w:tmpl w:val="2B501D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89429048">
    <w:abstractNumId w:val="5"/>
  </w:num>
  <w:num w:numId="2" w16cid:durableId="857230317">
    <w:abstractNumId w:val="2"/>
  </w:num>
  <w:num w:numId="3" w16cid:durableId="1154760536">
    <w:abstractNumId w:val="0"/>
  </w:num>
  <w:num w:numId="4" w16cid:durableId="224797540">
    <w:abstractNumId w:val="6"/>
  </w:num>
  <w:num w:numId="5" w16cid:durableId="1366755398">
    <w:abstractNumId w:val="8"/>
  </w:num>
  <w:num w:numId="6" w16cid:durableId="169688656">
    <w:abstractNumId w:val="1"/>
  </w:num>
  <w:num w:numId="7" w16cid:durableId="735251473">
    <w:abstractNumId w:val="3"/>
  </w:num>
  <w:num w:numId="8" w16cid:durableId="363288654">
    <w:abstractNumId w:val="7"/>
  </w:num>
  <w:num w:numId="9" w16cid:durableId="71207339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52E9"/>
    <w:rsid w:val="000127B9"/>
    <w:rsid w:val="0001750C"/>
    <w:rsid w:val="000201AF"/>
    <w:rsid w:val="000261C5"/>
    <w:rsid w:val="00026281"/>
    <w:rsid w:val="00031F20"/>
    <w:rsid w:val="000331D6"/>
    <w:rsid w:val="0004644E"/>
    <w:rsid w:val="00054706"/>
    <w:rsid w:val="000608BD"/>
    <w:rsid w:val="00066CF6"/>
    <w:rsid w:val="00073BFE"/>
    <w:rsid w:val="00080CDA"/>
    <w:rsid w:val="0008129C"/>
    <w:rsid w:val="000849BD"/>
    <w:rsid w:val="000849FC"/>
    <w:rsid w:val="00085001"/>
    <w:rsid w:val="000A0FF2"/>
    <w:rsid w:val="000A1E38"/>
    <w:rsid w:val="000A725F"/>
    <w:rsid w:val="000A7EB6"/>
    <w:rsid w:val="000B25CE"/>
    <w:rsid w:val="000C002F"/>
    <w:rsid w:val="000C1957"/>
    <w:rsid w:val="000C4784"/>
    <w:rsid w:val="000D0CAC"/>
    <w:rsid w:val="000D1200"/>
    <w:rsid w:val="000D351D"/>
    <w:rsid w:val="000D7EB7"/>
    <w:rsid w:val="000E25DC"/>
    <w:rsid w:val="000E2B83"/>
    <w:rsid w:val="000F034C"/>
    <w:rsid w:val="000F2DC8"/>
    <w:rsid w:val="000F780A"/>
    <w:rsid w:val="001143F4"/>
    <w:rsid w:val="00116332"/>
    <w:rsid w:val="001171D3"/>
    <w:rsid w:val="00117559"/>
    <w:rsid w:val="00120CC8"/>
    <w:rsid w:val="00124C31"/>
    <w:rsid w:val="00130EEE"/>
    <w:rsid w:val="00132D96"/>
    <w:rsid w:val="00134C76"/>
    <w:rsid w:val="00144D6A"/>
    <w:rsid w:val="00150B9E"/>
    <w:rsid w:val="00154AFF"/>
    <w:rsid w:val="00155852"/>
    <w:rsid w:val="0015772D"/>
    <w:rsid w:val="0016006A"/>
    <w:rsid w:val="00163A4E"/>
    <w:rsid w:val="00170D12"/>
    <w:rsid w:val="00176799"/>
    <w:rsid w:val="00180C6D"/>
    <w:rsid w:val="00191359"/>
    <w:rsid w:val="00191638"/>
    <w:rsid w:val="0019172D"/>
    <w:rsid w:val="00193DFD"/>
    <w:rsid w:val="00193E1E"/>
    <w:rsid w:val="00197EB9"/>
    <w:rsid w:val="001A59F0"/>
    <w:rsid w:val="001A65D6"/>
    <w:rsid w:val="001B1BA3"/>
    <w:rsid w:val="001B6848"/>
    <w:rsid w:val="001B797F"/>
    <w:rsid w:val="001C2EBE"/>
    <w:rsid w:val="001C3264"/>
    <w:rsid w:val="001C3DE8"/>
    <w:rsid w:val="001D0296"/>
    <w:rsid w:val="001D0EB2"/>
    <w:rsid w:val="001E0EE0"/>
    <w:rsid w:val="001E334B"/>
    <w:rsid w:val="001E3503"/>
    <w:rsid w:val="001E6FDB"/>
    <w:rsid w:val="001F13D7"/>
    <w:rsid w:val="001F4A5A"/>
    <w:rsid w:val="001F6958"/>
    <w:rsid w:val="001F70A0"/>
    <w:rsid w:val="00205237"/>
    <w:rsid w:val="00205E96"/>
    <w:rsid w:val="00206F3F"/>
    <w:rsid w:val="00215553"/>
    <w:rsid w:val="00215DF0"/>
    <w:rsid w:val="00222530"/>
    <w:rsid w:val="0022556F"/>
    <w:rsid w:val="00227765"/>
    <w:rsid w:val="00233856"/>
    <w:rsid w:val="0023490B"/>
    <w:rsid w:val="00237D43"/>
    <w:rsid w:val="00243926"/>
    <w:rsid w:val="00244841"/>
    <w:rsid w:val="00244970"/>
    <w:rsid w:val="00244DE4"/>
    <w:rsid w:val="00247575"/>
    <w:rsid w:val="00260D65"/>
    <w:rsid w:val="0027069E"/>
    <w:rsid w:val="00270ABA"/>
    <w:rsid w:val="0027242B"/>
    <w:rsid w:val="00272EF8"/>
    <w:rsid w:val="002735B5"/>
    <w:rsid w:val="00273AA2"/>
    <w:rsid w:val="00280DE8"/>
    <w:rsid w:val="00285C6D"/>
    <w:rsid w:val="00287167"/>
    <w:rsid w:val="0029070A"/>
    <w:rsid w:val="002910CA"/>
    <w:rsid w:val="00297C28"/>
    <w:rsid w:val="002A0566"/>
    <w:rsid w:val="002A4D43"/>
    <w:rsid w:val="002B1CAF"/>
    <w:rsid w:val="002B346F"/>
    <w:rsid w:val="002B4B43"/>
    <w:rsid w:val="002B5288"/>
    <w:rsid w:val="002B62C3"/>
    <w:rsid w:val="002B7B18"/>
    <w:rsid w:val="002C0153"/>
    <w:rsid w:val="002C5E1B"/>
    <w:rsid w:val="002D02A1"/>
    <w:rsid w:val="002D22BC"/>
    <w:rsid w:val="002D2AAF"/>
    <w:rsid w:val="002D3F34"/>
    <w:rsid w:val="002D7C1F"/>
    <w:rsid w:val="002E306F"/>
    <w:rsid w:val="002E34DF"/>
    <w:rsid w:val="002E4A75"/>
    <w:rsid w:val="002E505A"/>
    <w:rsid w:val="002E60D4"/>
    <w:rsid w:val="002E68B4"/>
    <w:rsid w:val="002F1A01"/>
    <w:rsid w:val="002F2BEF"/>
    <w:rsid w:val="002F4B42"/>
    <w:rsid w:val="002F6804"/>
    <w:rsid w:val="00301185"/>
    <w:rsid w:val="00304A91"/>
    <w:rsid w:val="00313448"/>
    <w:rsid w:val="0031473B"/>
    <w:rsid w:val="00320F9B"/>
    <w:rsid w:val="00323071"/>
    <w:rsid w:val="00323B01"/>
    <w:rsid w:val="003264F2"/>
    <w:rsid w:val="0032741F"/>
    <w:rsid w:val="00330527"/>
    <w:rsid w:val="00332A73"/>
    <w:rsid w:val="00332FA0"/>
    <w:rsid w:val="003338DB"/>
    <w:rsid w:val="00340B17"/>
    <w:rsid w:val="00345178"/>
    <w:rsid w:val="003468D9"/>
    <w:rsid w:val="003473FB"/>
    <w:rsid w:val="00361EEF"/>
    <w:rsid w:val="003635E1"/>
    <w:rsid w:val="00363D13"/>
    <w:rsid w:val="003703D1"/>
    <w:rsid w:val="00370A52"/>
    <w:rsid w:val="0038280D"/>
    <w:rsid w:val="003832AE"/>
    <w:rsid w:val="00387E26"/>
    <w:rsid w:val="0039494F"/>
    <w:rsid w:val="00397B59"/>
    <w:rsid w:val="003A164B"/>
    <w:rsid w:val="003A22A6"/>
    <w:rsid w:val="003A4D6D"/>
    <w:rsid w:val="003B122B"/>
    <w:rsid w:val="003B3830"/>
    <w:rsid w:val="003B43B2"/>
    <w:rsid w:val="003C485E"/>
    <w:rsid w:val="003C6E1F"/>
    <w:rsid w:val="003D363A"/>
    <w:rsid w:val="003D3966"/>
    <w:rsid w:val="003D3E7F"/>
    <w:rsid w:val="003D57AF"/>
    <w:rsid w:val="003D7CB6"/>
    <w:rsid w:val="003E1282"/>
    <w:rsid w:val="003E128E"/>
    <w:rsid w:val="003E34A5"/>
    <w:rsid w:val="003E4A04"/>
    <w:rsid w:val="003E70CE"/>
    <w:rsid w:val="003F238E"/>
    <w:rsid w:val="003F3A81"/>
    <w:rsid w:val="003F3B27"/>
    <w:rsid w:val="003F4907"/>
    <w:rsid w:val="003F5A05"/>
    <w:rsid w:val="004114A0"/>
    <w:rsid w:val="00427372"/>
    <w:rsid w:val="00427A79"/>
    <w:rsid w:val="00427B79"/>
    <w:rsid w:val="00432426"/>
    <w:rsid w:val="0043538D"/>
    <w:rsid w:val="0044007A"/>
    <w:rsid w:val="0044068F"/>
    <w:rsid w:val="00445BB8"/>
    <w:rsid w:val="00446495"/>
    <w:rsid w:val="0044652E"/>
    <w:rsid w:val="00447665"/>
    <w:rsid w:val="004510B3"/>
    <w:rsid w:val="00454A5D"/>
    <w:rsid w:val="004630A2"/>
    <w:rsid w:val="004640BA"/>
    <w:rsid w:val="00465ACE"/>
    <w:rsid w:val="00465C21"/>
    <w:rsid w:val="0047146B"/>
    <w:rsid w:val="00471D52"/>
    <w:rsid w:val="00472F7B"/>
    <w:rsid w:val="00477BDF"/>
    <w:rsid w:val="0048121F"/>
    <w:rsid w:val="00482144"/>
    <w:rsid w:val="004878F5"/>
    <w:rsid w:val="00491AC2"/>
    <w:rsid w:val="00492D4C"/>
    <w:rsid w:val="004A0D1A"/>
    <w:rsid w:val="004A27A6"/>
    <w:rsid w:val="004A3B33"/>
    <w:rsid w:val="004B0942"/>
    <w:rsid w:val="004B3B54"/>
    <w:rsid w:val="004B3BB0"/>
    <w:rsid w:val="004B5EDE"/>
    <w:rsid w:val="004C0D54"/>
    <w:rsid w:val="004C56E7"/>
    <w:rsid w:val="004C5AD4"/>
    <w:rsid w:val="004D10DC"/>
    <w:rsid w:val="004D29FD"/>
    <w:rsid w:val="004D5B5D"/>
    <w:rsid w:val="004D5D44"/>
    <w:rsid w:val="004E21CA"/>
    <w:rsid w:val="004E2460"/>
    <w:rsid w:val="004E578B"/>
    <w:rsid w:val="004E5CF2"/>
    <w:rsid w:val="004E70EE"/>
    <w:rsid w:val="0050072B"/>
    <w:rsid w:val="00504993"/>
    <w:rsid w:val="00504B70"/>
    <w:rsid w:val="00513B54"/>
    <w:rsid w:val="00513DD2"/>
    <w:rsid w:val="0051612D"/>
    <w:rsid w:val="0051729D"/>
    <w:rsid w:val="005173CE"/>
    <w:rsid w:val="00521DEB"/>
    <w:rsid w:val="00523A0E"/>
    <w:rsid w:val="00524CEC"/>
    <w:rsid w:val="00527038"/>
    <w:rsid w:val="00530599"/>
    <w:rsid w:val="0054120A"/>
    <w:rsid w:val="00541B30"/>
    <w:rsid w:val="00542E76"/>
    <w:rsid w:val="0055344C"/>
    <w:rsid w:val="00564A1B"/>
    <w:rsid w:val="0056792F"/>
    <w:rsid w:val="0057039E"/>
    <w:rsid w:val="00573228"/>
    <w:rsid w:val="00575730"/>
    <w:rsid w:val="00576C33"/>
    <w:rsid w:val="00590285"/>
    <w:rsid w:val="00590A94"/>
    <w:rsid w:val="00591756"/>
    <w:rsid w:val="00591FD3"/>
    <w:rsid w:val="0059325B"/>
    <w:rsid w:val="005935E9"/>
    <w:rsid w:val="00597379"/>
    <w:rsid w:val="005A24C2"/>
    <w:rsid w:val="005A514D"/>
    <w:rsid w:val="005A5A9E"/>
    <w:rsid w:val="005A655E"/>
    <w:rsid w:val="005A6EF0"/>
    <w:rsid w:val="005B0F40"/>
    <w:rsid w:val="005B4ED7"/>
    <w:rsid w:val="005B754A"/>
    <w:rsid w:val="005C27B5"/>
    <w:rsid w:val="005C2C0E"/>
    <w:rsid w:val="005C4133"/>
    <w:rsid w:val="005C6DEA"/>
    <w:rsid w:val="005C7FC7"/>
    <w:rsid w:val="005D02ED"/>
    <w:rsid w:val="005D0D2C"/>
    <w:rsid w:val="005D3F73"/>
    <w:rsid w:val="005D5E80"/>
    <w:rsid w:val="005D7065"/>
    <w:rsid w:val="005D7AA4"/>
    <w:rsid w:val="005D7F19"/>
    <w:rsid w:val="005F0DF1"/>
    <w:rsid w:val="005F317F"/>
    <w:rsid w:val="00600291"/>
    <w:rsid w:val="00600411"/>
    <w:rsid w:val="00601FD2"/>
    <w:rsid w:val="00605369"/>
    <w:rsid w:val="006054E6"/>
    <w:rsid w:val="00605C9E"/>
    <w:rsid w:val="00610599"/>
    <w:rsid w:val="00611CAA"/>
    <w:rsid w:val="00614426"/>
    <w:rsid w:val="00615605"/>
    <w:rsid w:val="00616AD4"/>
    <w:rsid w:val="00621D9C"/>
    <w:rsid w:val="00626841"/>
    <w:rsid w:val="006275E4"/>
    <w:rsid w:val="006279F7"/>
    <w:rsid w:val="006303D6"/>
    <w:rsid w:val="006326AF"/>
    <w:rsid w:val="00636CC6"/>
    <w:rsid w:val="00636D65"/>
    <w:rsid w:val="00640106"/>
    <w:rsid w:val="00643812"/>
    <w:rsid w:val="0064514D"/>
    <w:rsid w:val="00650BA8"/>
    <w:rsid w:val="00653B64"/>
    <w:rsid w:val="006578D1"/>
    <w:rsid w:val="00661232"/>
    <w:rsid w:val="00663CA7"/>
    <w:rsid w:val="006775FB"/>
    <w:rsid w:val="00680C77"/>
    <w:rsid w:val="00682EF1"/>
    <w:rsid w:val="006833EC"/>
    <w:rsid w:val="006835D0"/>
    <w:rsid w:val="006843DD"/>
    <w:rsid w:val="00686B69"/>
    <w:rsid w:val="00687313"/>
    <w:rsid w:val="00694F93"/>
    <w:rsid w:val="006958D9"/>
    <w:rsid w:val="006A5A7B"/>
    <w:rsid w:val="006B2472"/>
    <w:rsid w:val="006C1C69"/>
    <w:rsid w:val="006C2615"/>
    <w:rsid w:val="006C3DEF"/>
    <w:rsid w:val="006C556D"/>
    <w:rsid w:val="006E171C"/>
    <w:rsid w:val="006E174F"/>
    <w:rsid w:val="006E2202"/>
    <w:rsid w:val="006E2CD5"/>
    <w:rsid w:val="006E3292"/>
    <w:rsid w:val="006F3F60"/>
    <w:rsid w:val="006F6845"/>
    <w:rsid w:val="00700C2A"/>
    <w:rsid w:val="00703E6F"/>
    <w:rsid w:val="00712BA6"/>
    <w:rsid w:val="007175EF"/>
    <w:rsid w:val="00721E64"/>
    <w:rsid w:val="00723E77"/>
    <w:rsid w:val="00724D7E"/>
    <w:rsid w:val="0072752F"/>
    <w:rsid w:val="007342AB"/>
    <w:rsid w:val="00736845"/>
    <w:rsid w:val="00740818"/>
    <w:rsid w:val="00743403"/>
    <w:rsid w:val="007470CC"/>
    <w:rsid w:val="00754D96"/>
    <w:rsid w:val="00757756"/>
    <w:rsid w:val="00761B54"/>
    <w:rsid w:val="0076200A"/>
    <w:rsid w:val="00764448"/>
    <w:rsid w:val="007730F7"/>
    <w:rsid w:val="007754F1"/>
    <w:rsid w:val="00775C4D"/>
    <w:rsid w:val="00790542"/>
    <w:rsid w:val="007A05FC"/>
    <w:rsid w:val="007A469C"/>
    <w:rsid w:val="007B1915"/>
    <w:rsid w:val="007B4184"/>
    <w:rsid w:val="007B4FCD"/>
    <w:rsid w:val="007B5219"/>
    <w:rsid w:val="007B5FA1"/>
    <w:rsid w:val="007B7958"/>
    <w:rsid w:val="007C1144"/>
    <w:rsid w:val="007C5D54"/>
    <w:rsid w:val="007C770B"/>
    <w:rsid w:val="007D2B14"/>
    <w:rsid w:val="007D2DB0"/>
    <w:rsid w:val="007D2EF6"/>
    <w:rsid w:val="007D4C48"/>
    <w:rsid w:val="007E12C7"/>
    <w:rsid w:val="007E4A4E"/>
    <w:rsid w:val="007E709F"/>
    <w:rsid w:val="007F17C9"/>
    <w:rsid w:val="007F229B"/>
    <w:rsid w:val="007F354E"/>
    <w:rsid w:val="007F4DEC"/>
    <w:rsid w:val="007F651D"/>
    <w:rsid w:val="007F6616"/>
    <w:rsid w:val="00800F92"/>
    <w:rsid w:val="00804613"/>
    <w:rsid w:val="00810E92"/>
    <w:rsid w:val="008121BE"/>
    <w:rsid w:val="00814383"/>
    <w:rsid w:val="00816026"/>
    <w:rsid w:val="00816248"/>
    <w:rsid w:val="00820725"/>
    <w:rsid w:val="0082325B"/>
    <w:rsid w:val="00825C8F"/>
    <w:rsid w:val="008300B3"/>
    <w:rsid w:val="00830215"/>
    <w:rsid w:val="00830E22"/>
    <w:rsid w:val="00831C03"/>
    <w:rsid w:val="00832951"/>
    <w:rsid w:val="00833609"/>
    <w:rsid w:val="008364DB"/>
    <w:rsid w:val="00840130"/>
    <w:rsid w:val="00841404"/>
    <w:rsid w:val="008433DA"/>
    <w:rsid w:val="00846DF0"/>
    <w:rsid w:val="00847CCE"/>
    <w:rsid w:val="00856786"/>
    <w:rsid w:val="00860B6F"/>
    <w:rsid w:val="00863F42"/>
    <w:rsid w:val="00864873"/>
    <w:rsid w:val="00864D0E"/>
    <w:rsid w:val="00865A66"/>
    <w:rsid w:val="008709FD"/>
    <w:rsid w:val="00874441"/>
    <w:rsid w:val="00880B0A"/>
    <w:rsid w:val="008915F8"/>
    <w:rsid w:val="008917A5"/>
    <w:rsid w:val="0089257D"/>
    <w:rsid w:val="008974D7"/>
    <w:rsid w:val="008979AB"/>
    <w:rsid w:val="008A09A5"/>
    <w:rsid w:val="008A6DCD"/>
    <w:rsid w:val="008B0F59"/>
    <w:rsid w:val="008C1401"/>
    <w:rsid w:val="008C21E4"/>
    <w:rsid w:val="008C5C03"/>
    <w:rsid w:val="008D0303"/>
    <w:rsid w:val="008D180A"/>
    <w:rsid w:val="008D6461"/>
    <w:rsid w:val="008D655B"/>
    <w:rsid w:val="008D756E"/>
    <w:rsid w:val="008E6439"/>
    <w:rsid w:val="008E7E0F"/>
    <w:rsid w:val="008F2154"/>
    <w:rsid w:val="008F3C0C"/>
    <w:rsid w:val="008F7283"/>
    <w:rsid w:val="00904BD4"/>
    <w:rsid w:val="00905B8F"/>
    <w:rsid w:val="00906772"/>
    <w:rsid w:val="0091007A"/>
    <w:rsid w:val="00913DE1"/>
    <w:rsid w:val="00916461"/>
    <w:rsid w:val="00920BC4"/>
    <w:rsid w:val="0092208E"/>
    <w:rsid w:val="0092646C"/>
    <w:rsid w:val="00927ED9"/>
    <w:rsid w:val="009309CE"/>
    <w:rsid w:val="009319FF"/>
    <w:rsid w:val="0093330F"/>
    <w:rsid w:val="0093360E"/>
    <w:rsid w:val="00933A53"/>
    <w:rsid w:val="0093569B"/>
    <w:rsid w:val="00937241"/>
    <w:rsid w:val="00937D84"/>
    <w:rsid w:val="00940879"/>
    <w:rsid w:val="0094345C"/>
    <w:rsid w:val="00945022"/>
    <w:rsid w:val="00950BAF"/>
    <w:rsid w:val="009547FA"/>
    <w:rsid w:val="0095618E"/>
    <w:rsid w:val="009633B4"/>
    <w:rsid w:val="009636F5"/>
    <w:rsid w:val="009669A3"/>
    <w:rsid w:val="00970439"/>
    <w:rsid w:val="009759B6"/>
    <w:rsid w:val="009768D0"/>
    <w:rsid w:val="009772AE"/>
    <w:rsid w:val="009936BA"/>
    <w:rsid w:val="00994B69"/>
    <w:rsid w:val="00997326"/>
    <w:rsid w:val="009A2404"/>
    <w:rsid w:val="009A43FB"/>
    <w:rsid w:val="009A4741"/>
    <w:rsid w:val="009B03D5"/>
    <w:rsid w:val="009B192D"/>
    <w:rsid w:val="009B1B4B"/>
    <w:rsid w:val="009B2CB0"/>
    <w:rsid w:val="009B4E08"/>
    <w:rsid w:val="009B78AE"/>
    <w:rsid w:val="009C1C14"/>
    <w:rsid w:val="009C3EA9"/>
    <w:rsid w:val="009D0934"/>
    <w:rsid w:val="009D1351"/>
    <w:rsid w:val="009D2170"/>
    <w:rsid w:val="009D69EB"/>
    <w:rsid w:val="009E01FE"/>
    <w:rsid w:val="009E1B18"/>
    <w:rsid w:val="009E6E51"/>
    <w:rsid w:val="009F1367"/>
    <w:rsid w:val="009F1E1A"/>
    <w:rsid w:val="009F2186"/>
    <w:rsid w:val="009F44FE"/>
    <w:rsid w:val="009F5F9A"/>
    <w:rsid w:val="00A00359"/>
    <w:rsid w:val="00A0275D"/>
    <w:rsid w:val="00A06B4A"/>
    <w:rsid w:val="00A10574"/>
    <w:rsid w:val="00A110CE"/>
    <w:rsid w:val="00A15056"/>
    <w:rsid w:val="00A155CA"/>
    <w:rsid w:val="00A16B25"/>
    <w:rsid w:val="00A17F03"/>
    <w:rsid w:val="00A21375"/>
    <w:rsid w:val="00A24D10"/>
    <w:rsid w:val="00A27968"/>
    <w:rsid w:val="00A30D42"/>
    <w:rsid w:val="00A31927"/>
    <w:rsid w:val="00A402AC"/>
    <w:rsid w:val="00A43443"/>
    <w:rsid w:val="00A4761E"/>
    <w:rsid w:val="00A57B1C"/>
    <w:rsid w:val="00A6242F"/>
    <w:rsid w:val="00A624B3"/>
    <w:rsid w:val="00A659BD"/>
    <w:rsid w:val="00A71D5B"/>
    <w:rsid w:val="00A80F86"/>
    <w:rsid w:val="00A82737"/>
    <w:rsid w:val="00A833F7"/>
    <w:rsid w:val="00A83B92"/>
    <w:rsid w:val="00A92064"/>
    <w:rsid w:val="00A9253F"/>
    <w:rsid w:val="00A949D8"/>
    <w:rsid w:val="00AA25DB"/>
    <w:rsid w:val="00AA552B"/>
    <w:rsid w:val="00AB740C"/>
    <w:rsid w:val="00AC016E"/>
    <w:rsid w:val="00AC096C"/>
    <w:rsid w:val="00AC121F"/>
    <w:rsid w:val="00AC1936"/>
    <w:rsid w:val="00AC2BC0"/>
    <w:rsid w:val="00AC62F0"/>
    <w:rsid w:val="00AC7F5A"/>
    <w:rsid w:val="00AD0AE3"/>
    <w:rsid w:val="00AD18AF"/>
    <w:rsid w:val="00AD21BA"/>
    <w:rsid w:val="00AD2949"/>
    <w:rsid w:val="00AD3059"/>
    <w:rsid w:val="00AD3B29"/>
    <w:rsid w:val="00AE4A6C"/>
    <w:rsid w:val="00AE7AE5"/>
    <w:rsid w:val="00AF291F"/>
    <w:rsid w:val="00AF3701"/>
    <w:rsid w:val="00AF4BE0"/>
    <w:rsid w:val="00AF6DE5"/>
    <w:rsid w:val="00B03923"/>
    <w:rsid w:val="00B04251"/>
    <w:rsid w:val="00B102AE"/>
    <w:rsid w:val="00B10E3A"/>
    <w:rsid w:val="00B1124F"/>
    <w:rsid w:val="00B11432"/>
    <w:rsid w:val="00B11A16"/>
    <w:rsid w:val="00B17AA1"/>
    <w:rsid w:val="00B2376F"/>
    <w:rsid w:val="00B23C68"/>
    <w:rsid w:val="00B23C6F"/>
    <w:rsid w:val="00B245B6"/>
    <w:rsid w:val="00B30025"/>
    <w:rsid w:val="00B30F31"/>
    <w:rsid w:val="00B315F0"/>
    <w:rsid w:val="00B31DE3"/>
    <w:rsid w:val="00B32B01"/>
    <w:rsid w:val="00B358D7"/>
    <w:rsid w:val="00B44DDC"/>
    <w:rsid w:val="00B572AB"/>
    <w:rsid w:val="00B61A35"/>
    <w:rsid w:val="00B63465"/>
    <w:rsid w:val="00B636DC"/>
    <w:rsid w:val="00B65387"/>
    <w:rsid w:val="00B66A1D"/>
    <w:rsid w:val="00B71881"/>
    <w:rsid w:val="00B90B5C"/>
    <w:rsid w:val="00BA1C6D"/>
    <w:rsid w:val="00BA254E"/>
    <w:rsid w:val="00BA387C"/>
    <w:rsid w:val="00BA59C3"/>
    <w:rsid w:val="00BA6CA3"/>
    <w:rsid w:val="00BA7DDB"/>
    <w:rsid w:val="00BB3691"/>
    <w:rsid w:val="00BB5046"/>
    <w:rsid w:val="00BD1CB9"/>
    <w:rsid w:val="00BD2D10"/>
    <w:rsid w:val="00BD3511"/>
    <w:rsid w:val="00BD6193"/>
    <w:rsid w:val="00BE07D2"/>
    <w:rsid w:val="00BE4741"/>
    <w:rsid w:val="00BE64AB"/>
    <w:rsid w:val="00BE6AD5"/>
    <w:rsid w:val="00BF1EA9"/>
    <w:rsid w:val="00BF710B"/>
    <w:rsid w:val="00BF7651"/>
    <w:rsid w:val="00BF7D6E"/>
    <w:rsid w:val="00C00FED"/>
    <w:rsid w:val="00C03D1C"/>
    <w:rsid w:val="00C12262"/>
    <w:rsid w:val="00C12A17"/>
    <w:rsid w:val="00C1605A"/>
    <w:rsid w:val="00C1694F"/>
    <w:rsid w:val="00C17739"/>
    <w:rsid w:val="00C20538"/>
    <w:rsid w:val="00C20852"/>
    <w:rsid w:val="00C209D6"/>
    <w:rsid w:val="00C21A15"/>
    <w:rsid w:val="00C259CC"/>
    <w:rsid w:val="00C26E92"/>
    <w:rsid w:val="00C35C40"/>
    <w:rsid w:val="00C36259"/>
    <w:rsid w:val="00C437DD"/>
    <w:rsid w:val="00C44E72"/>
    <w:rsid w:val="00C53BF8"/>
    <w:rsid w:val="00C56265"/>
    <w:rsid w:val="00C6059F"/>
    <w:rsid w:val="00C63840"/>
    <w:rsid w:val="00C65137"/>
    <w:rsid w:val="00C67B44"/>
    <w:rsid w:val="00C71B07"/>
    <w:rsid w:val="00C737BA"/>
    <w:rsid w:val="00C77031"/>
    <w:rsid w:val="00C807F1"/>
    <w:rsid w:val="00C853C2"/>
    <w:rsid w:val="00C86276"/>
    <w:rsid w:val="00C87CF7"/>
    <w:rsid w:val="00C87EDC"/>
    <w:rsid w:val="00C9159E"/>
    <w:rsid w:val="00C9295C"/>
    <w:rsid w:val="00C931B0"/>
    <w:rsid w:val="00C95C50"/>
    <w:rsid w:val="00C962A9"/>
    <w:rsid w:val="00C96F0C"/>
    <w:rsid w:val="00C979BE"/>
    <w:rsid w:val="00CA16B5"/>
    <w:rsid w:val="00CA5329"/>
    <w:rsid w:val="00CA5D6D"/>
    <w:rsid w:val="00CA7929"/>
    <w:rsid w:val="00CB1236"/>
    <w:rsid w:val="00CB5426"/>
    <w:rsid w:val="00CB5D17"/>
    <w:rsid w:val="00CC267B"/>
    <w:rsid w:val="00CC2FE5"/>
    <w:rsid w:val="00CC3531"/>
    <w:rsid w:val="00CC79C6"/>
    <w:rsid w:val="00CD122B"/>
    <w:rsid w:val="00CD3B07"/>
    <w:rsid w:val="00CE0AAD"/>
    <w:rsid w:val="00CE3DEE"/>
    <w:rsid w:val="00CE5F22"/>
    <w:rsid w:val="00CE7FD4"/>
    <w:rsid w:val="00CF0408"/>
    <w:rsid w:val="00CF1BEF"/>
    <w:rsid w:val="00D00D16"/>
    <w:rsid w:val="00D02F0B"/>
    <w:rsid w:val="00D0396C"/>
    <w:rsid w:val="00D04073"/>
    <w:rsid w:val="00D06686"/>
    <w:rsid w:val="00D11E16"/>
    <w:rsid w:val="00D141C4"/>
    <w:rsid w:val="00D17E3D"/>
    <w:rsid w:val="00D23553"/>
    <w:rsid w:val="00D23D23"/>
    <w:rsid w:val="00D26581"/>
    <w:rsid w:val="00D27B67"/>
    <w:rsid w:val="00D30378"/>
    <w:rsid w:val="00D30C73"/>
    <w:rsid w:val="00D33B23"/>
    <w:rsid w:val="00D379F0"/>
    <w:rsid w:val="00D37B08"/>
    <w:rsid w:val="00D4015C"/>
    <w:rsid w:val="00D45485"/>
    <w:rsid w:val="00D45B88"/>
    <w:rsid w:val="00D50B23"/>
    <w:rsid w:val="00D52CDD"/>
    <w:rsid w:val="00D57060"/>
    <w:rsid w:val="00D73EE0"/>
    <w:rsid w:val="00D86770"/>
    <w:rsid w:val="00D87391"/>
    <w:rsid w:val="00D92705"/>
    <w:rsid w:val="00D9278E"/>
    <w:rsid w:val="00D97355"/>
    <w:rsid w:val="00D97A34"/>
    <w:rsid w:val="00DA593F"/>
    <w:rsid w:val="00DA7270"/>
    <w:rsid w:val="00DB07F2"/>
    <w:rsid w:val="00DB07F4"/>
    <w:rsid w:val="00DB1B01"/>
    <w:rsid w:val="00DB1C39"/>
    <w:rsid w:val="00DB3CD1"/>
    <w:rsid w:val="00DB58B6"/>
    <w:rsid w:val="00DB5B25"/>
    <w:rsid w:val="00DB7049"/>
    <w:rsid w:val="00DC2DA2"/>
    <w:rsid w:val="00DC3039"/>
    <w:rsid w:val="00DC3C8C"/>
    <w:rsid w:val="00DC4428"/>
    <w:rsid w:val="00DC5BC0"/>
    <w:rsid w:val="00DD1F92"/>
    <w:rsid w:val="00DE39E0"/>
    <w:rsid w:val="00DE757B"/>
    <w:rsid w:val="00DF3F83"/>
    <w:rsid w:val="00DF5614"/>
    <w:rsid w:val="00E0182E"/>
    <w:rsid w:val="00E019C6"/>
    <w:rsid w:val="00E02A0C"/>
    <w:rsid w:val="00E034D8"/>
    <w:rsid w:val="00E0635A"/>
    <w:rsid w:val="00E066E1"/>
    <w:rsid w:val="00E07005"/>
    <w:rsid w:val="00E078C8"/>
    <w:rsid w:val="00E07F62"/>
    <w:rsid w:val="00E10590"/>
    <w:rsid w:val="00E129E5"/>
    <w:rsid w:val="00E136D2"/>
    <w:rsid w:val="00E16105"/>
    <w:rsid w:val="00E406B1"/>
    <w:rsid w:val="00E420D9"/>
    <w:rsid w:val="00E45709"/>
    <w:rsid w:val="00E4691D"/>
    <w:rsid w:val="00E47BBE"/>
    <w:rsid w:val="00E53C0F"/>
    <w:rsid w:val="00E568A4"/>
    <w:rsid w:val="00E56FA2"/>
    <w:rsid w:val="00E640D0"/>
    <w:rsid w:val="00E7382A"/>
    <w:rsid w:val="00E76BC4"/>
    <w:rsid w:val="00E77DA4"/>
    <w:rsid w:val="00E813CE"/>
    <w:rsid w:val="00E816C6"/>
    <w:rsid w:val="00E817A3"/>
    <w:rsid w:val="00E82EA7"/>
    <w:rsid w:val="00E847FE"/>
    <w:rsid w:val="00E92EB4"/>
    <w:rsid w:val="00E9484C"/>
    <w:rsid w:val="00E95510"/>
    <w:rsid w:val="00E973D8"/>
    <w:rsid w:val="00EA252F"/>
    <w:rsid w:val="00EA2E6A"/>
    <w:rsid w:val="00EB2A16"/>
    <w:rsid w:val="00EB689C"/>
    <w:rsid w:val="00EC50A9"/>
    <w:rsid w:val="00ED4826"/>
    <w:rsid w:val="00ED5D69"/>
    <w:rsid w:val="00ED7445"/>
    <w:rsid w:val="00EE0820"/>
    <w:rsid w:val="00EE0B43"/>
    <w:rsid w:val="00EE0D97"/>
    <w:rsid w:val="00EE1ADE"/>
    <w:rsid w:val="00EE2EBA"/>
    <w:rsid w:val="00EE53EA"/>
    <w:rsid w:val="00EE5C4C"/>
    <w:rsid w:val="00EF4014"/>
    <w:rsid w:val="00EF4C82"/>
    <w:rsid w:val="00F0089B"/>
    <w:rsid w:val="00F06D5B"/>
    <w:rsid w:val="00F10344"/>
    <w:rsid w:val="00F114AE"/>
    <w:rsid w:val="00F1469E"/>
    <w:rsid w:val="00F34C50"/>
    <w:rsid w:val="00F44A30"/>
    <w:rsid w:val="00F46CF1"/>
    <w:rsid w:val="00F477AE"/>
    <w:rsid w:val="00F563BD"/>
    <w:rsid w:val="00F56746"/>
    <w:rsid w:val="00F60B8A"/>
    <w:rsid w:val="00F63C16"/>
    <w:rsid w:val="00F67A72"/>
    <w:rsid w:val="00F7747A"/>
    <w:rsid w:val="00F810B1"/>
    <w:rsid w:val="00F8198D"/>
    <w:rsid w:val="00F81C90"/>
    <w:rsid w:val="00F82488"/>
    <w:rsid w:val="00F840AC"/>
    <w:rsid w:val="00F844E2"/>
    <w:rsid w:val="00F86CB6"/>
    <w:rsid w:val="00F90FA7"/>
    <w:rsid w:val="00F91C9D"/>
    <w:rsid w:val="00F96510"/>
    <w:rsid w:val="00FB341F"/>
    <w:rsid w:val="00FB4790"/>
    <w:rsid w:val="00FB5FC1"/>
    <w:rsid w:val="00FC3ED7"/>
    <w:rsid w:val="00FD380B"/>
    <w:rsid w:val="00FD447B"/>
    <w:rsid w:val="00FD456D"/>
    <w:rsid w:val="00FD6A21"/>
    <w:rsid w:val="00FE14BA"/>
    <w:rsid w:val="00FE5620"/>
    <w:rsid w:val="00FE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D4E3B"/>
  <w14:defaultImageDpi w14:val="330"/>
  <w15:docId w15:val="{A55E8564-F0D4-D748-97EC-3D7433F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D8"/>
    <w:rPr>
      <w:rFonts w:ascii="Times New Roman" w:eastAsia="Times New Roman" w:hAnsi="Times New Roman" w:cs="Times New Roman"/>
      <w:lang w:val="en-ID" w:eastAsia="en-ID"/>
    </w:rPr>
  </w:style>
  <w:style w:type="paragraph" w:styleId="Heading1">
    <w:name w:val="heading 1"/>
    <w:basedOn w:val="Normal"/>
    <w:link w:val="Heading1Char"/>
    <w:uiPriority w:val="9"/>
    <w:qFormat/>
    <w:rsid w:val="00B11432"/>
    <w:pPr>
      <w:widowControl w:val="0"/>
      <w:autoSpaceDE w:val="0"/>
      <w:autoSpaceDN w:val="0"/>
      <w:ind w:left="1460"/>
      <w:outlineLvl w:val="0"/>
    </w:pPr>
    <w:rPr>
      <w:b/>
      <w:bCs/>
      <w:sz w:val="20"/>
      <w:szCs w:val="20"/>
      <w:lang w:bidi="en-US"/>
    </w:rPr>
  </w:style>
  <w:style w:type="paragraph" w:styleId="Heading2">
    <w:name w:val="heading 2"/>
    <w:basedOn w:val="Normal"/>
    <w:next w:val="Normal"/>
    <w:link w:val="Heading2Char"/>
    <w:uiPriority w:val="9"/>
    <w:unhideWhenUsed/>
    <w:qFormat/>
    <w:rsid w:val="00471D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E7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0A725F"/>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unhideWhenUsed/>
    <w:qFormat/>
    <w:rsid w:val="000A725F"/>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725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725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725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725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32"/>
    <w:rPr>
      <w:rFonts w:ascii="Times New Roman" w:eastAsia="Times New Roman" w:hAnsi="Times New Roman" w:cs="Times New Roman"/>
      <w:b/>
      <w:bCs/>
      <w:sz w:val="20"/>
      <w:szCs w:val="20"/>
      <w:lang w:val="en" w:bidi="en-US"/>
    </w:rPr>
  </w:style>
  <w:style w:type="character" w:customStyle="1" w:styleId="Heading2Char">
    <w:name w:val="Heading 2 Char"/>
    <w:basedOn w:val="DefaultParagraphFont"/>
    <w:link w:val="Heading2"/>
    <w:uiPriority w:val="9"/>
    <w:rsid w:val="00471D5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C2C0E"/>
    <w:rPr>
      <w:color w:val="0000FF" w:themeColor="hyperlink"/>
      <w:u w:val="single"/>
    </w:rPr>
  </w:style>
  <w:style w:type="paragraph" w:styleId="ListParagraph">
    <w:name w:val="List Paragraph"/>
    <w:aliases w:val="skripsi,YEAH!,Body Text Char1,Char Char2,List Paragraph2,spasi 2 taiiii,Body of text,List Paragraph1"/>
    <w:basedOn w:val="Normal"/>
    <w:link w:val="ListParagraphChar"/>
    <w:uiPriority w:val="34"/>
    <w:qFormat/>
    <w:rsid w:val="008D6461"/>
    <w:pPr>
      <w:ind w:left="720"/>
      <w:contextualSpacing/>
    </w:pPr>
  </w:style>
  <w:style w:type="character" w:styleId="FollowedHyperlink">
    <w:name w:val="FollowedHyperlink"/>
    <w:basedOn w:val="DefaultParagraphFont"/>
    <w:uiPriority w:val="99"/>
    <w:semiHidden/>
    <w:unhideWhenUsed/>
    <w:rsid w:val="00C9295C"/>
    <w:rPr>
      <w:color w:val="800080" w:themeColor="followedHyperlink"/>
      <w:u w:val="single"/>
    </w:rPr>
  </w:style>
  <w:style w:type="table" w:styleId="TableGrid">
    <w:name w:val="Table Grid"/>
    <w:basedOn w:val="TableNormal"/>
    <w:uiPriority w:val="39"/>
    <w:rsid w:val="002B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4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403"/>
    <w:rPr>
      <w:rFonts w:ascii="Lucida Grande" w:hAnsi="Lucida Grande" w:cs="Lucida Grande"/>
      <w:sz w:val="18"/>
      <w:szCs w:val="18"/>
    </w:rPr>
  </w:style>
  <w:style w:type="character" w:customStyle="1" w:styleId="fontstyle01">
    <w:name w:val="fontstyle01"/>
    <w:basedOn w:val="DefaultParagraphFont"/>
    <w:rsid w:val="003338DB"/>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3338DB"/>
    <w:rPr>
      <w:rFonts w:ascii="Times New Roman" w:hAnsi="Times New Roman" w:cs="Times New Roma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AD0AE3"/>
    <w:rPr>
      <w:color w:val="605E5C"/>
      <w:shd w:val="clear" w:color="auto" w:fill="E1DFDD"/>
    </w:rPr>
  </w:style>
  <w:style w:type="paragraph" w:styleId="Header">
    <w:name w:val="header"/>
    <w:basedOn w:val="Normal"/>
    <w:link w:val="HeaderChar"/>
    <w:uiPriority w:val="99"/>
    <w:unhideWhenUsed/>
    <w:rsid w:val="00840130"/>
    <w:pPr>
      <w:tabs>
        <w:tab w:val="center" w:pos="4513"/>
        <w:tab w:val="right" w:pos="9026"/>
      </w:tabs>
    </w:pPr>
  </w:style>
  <w:style w:type="character" w:customStyle="1" w:styleId="HeaderChar">
    <w:name w:val="Header Char"/>
    <w:basedOn w:val="DefaultParagraphFont"/>
    <w:link w:val="Header"/>
    <w:uiPriority w:val="99"/>
    <w:rsid w:val="00840130"/>
  </w:style>
  <w:style w:type="paragraph" w:styleId="Footer">
    <w:name w:val="footer"/>
    <w:basedOn w:val="Normal"/>
    <w:link w:val="FooterChar"/>
    <w:uiPriority w:val="99"/>
    <w:unhideWhenUsed/>
    <w:rsid w:val="00840130"/>
    <w:pPr>
      <w:tabs>
        <w:tab w:val="center" w:pos="4513"/>
        <w:tab w:val="right" w:pos="9026"/>
      </w:tabs>
    </w:pPr>
  </w:style>
  <w:style w:type="character" w:customStyle="1" w:styleId="FooterChar">
    <w:name w:val="Footer Char"/>
    <w:basedOn w:val="DefaultParagraphFont"/>
    <w:link w:val="Footer"/>
    <w:uiPriority w:val="99"/>
    <w:rsid w:val="00840130"/>
  </w:style>
  <w:style w:type="character" w:customStyle="1" w:styleId="UnresolvedMention2">
    <w:name w:val="Unresolved Mention2"/>
    <w:basedOn w:val="DefaultParagraphFont"/>
    <w:uiPriority w:val="99"/>
    <w:rsid w:val="00A110CE"/>
    <w:rPr>
      <w:color w:val="605E5C"/>
      <w:shd w:val="clear" w:color="auto" w:fill="E1DFDD"/>
    </w:rPr>
  </w:style>
  <w:style w:type="paragraph" w:styleId="NoSpacing">
    <w:name w:val="No Spacing"/>
    <w:uiPriority w:val="1"/>
    <w:qFormat/>
    <w:rsid w:val="00653B64"/>
    <w:rPr>
      <w:rFonts w:ascii="Calibri" w:eastAsia="Calibri" w:hAnsi="Calibri" w:cs="Times New Roman"/>
      <w:sz w:val="22"/>
      <w:szCs w:val="22"/>
    </w:rPr>
  </w:style>
  <w:style w:type="paragraph" w:styleId="HTMLPreformatted">
    <w:name w:val="HTML Preformatted"/>
    <w:basedOn w:val="Normal"/>
    <w:link w:val="HTMLPreformattedChar"/>
    <w:uiPriority w:val="99"/>
    <w:unhideWhenUsed/>
    <w:rsid w:val="006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53B64"/>
    <w:rPr>
      <w:rFonts w:ascii="Courier New" w:eastAsia="Times New Roman" w:hAnsi="Courier New" w:cs="Courier New"/>
      <w:sz w:val="20"/>
      <w:szCs w:val="20"/>
    </w:rPr>
  </w:style>
  <w:style w:type="paragraph" w:styleId="BodyText">
    <w:name w:val="Body Text"/>
    <w:basedOn w:val="Normal"/>
    <w:link w:val="BodyTextChar"/>
    <w:uiPriority w:val="1"/>
    <w:qFormat/>
    <w:rsid w:val="00B11432"/>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B11432"/>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rsid w:val="00E02A0C"/>
    <w:pPr>
      <w:widowControl w:val="0"/>
      <w:autoSpaceDE w:val="0"/>
      <w:autoSpaceDN w:val="0"/>
      <w:spacing w:before="16" w:line="261" w:lineRule="exact"/>
      <w:jc w:val="center"/>
    </w:pPr>
    <w:rPr>
      <w:sz w:val="22"/>
      <w:szCs w:val="22"/>
      <w:lang w:bidi="en-US"/>
    </w:rPr>
  </w:style>
  <w:style w:type="paragraph" w:styleId="Bibliography">
    <w:name w:val="Bibliography"/>
    <w:basedOn w:val="Normal"/>
    <w:next w:val="Normal"/>
    <w:uiPriority w:val="37"/>
    <w:unhideWhenUsed/>
    <w:rsid w:val="00482144"/>
    <w:pPr>
      <w:spacing w:line="480" w:lineRule="auto"/>
      <w:ind w:left="720" w:hanging="720"/>
    </w:pPr>
  </w:style>
  <w:style w:type="character" w:styleId="PageNumber">
    <w:name w:val="page number"/>
    <w:basedOn w:val="DefaultParagraphFont"/>
    <w:uiPriority w:val="99"/>
    <w:semiHidden/>
    <w:unhideWhenUsed/>
    <w:rsid w:val="00491AC2"/>
  </w:style>
  <w:style w:type="character" w:customStyle="1" w:styleId="UnresolvedMention3">
    <w:name w:val="Unresolved Mention3"/>
    <w:basedOn w:val="DefaultParagraphFont"/>
    <w:uiPriority w:val="99"/>
    <w:semiHidden/>
    <w:unhideWhenUsed/>
    <w:rsid w:val="00F7747A"/>
    <w:rPr>
      <w:color w:val="605E5C"/>
      <w:shd w:val="clear" w:color="auto" w:fill="E1DFDD"/>
    </w:rPr>
  </w:style>
  <w:style w:type="paragraph" w:styleId="NormalWeb">
    <w:name w:val="Normal (Web)"/>
    <w:basedOn w:val="Normal"/>
    <w:uiPriority w:val="99"/>
    <w:unhideWhenUsed/>
    <w:rsid w:val="00471D52"/>
    <w:pPr>
      <w:spacing w:before="100" w:beforeAutospacing="1" w:after="100" w:afterAutospacing="1"/>
    </w:pPr>
  </w:style>
  <w:style w:type="character" w:customStyle="1" w:styleId="Heading3Char">
    <w:name w:val="Heading 3 Char"/>
    <w:basedOn w:val="DefaultParagraphFont"/>
    <w:link w:val="Heading3"/>
    <w:uiPriority w:val="9"/>
    <w:rsid w:val="00542E76"/>
    <w:rPr>
      <w:rFonts w:asciiTheme="majorHAnsi" w:eastAsiaTheme="majorEastAsia" w:hAnsiTheme="majorHAnsi" w:cstheme="majorBidi"/>
      <w:color w:val="243F60" w:themeColor="accent1" w:themeShade="7F"/>
    </w:rPr>
  </w:style>
  <w:style w:type="character" w:customStyle="1" w:styleId="affiliation">
    <w:name w:val="affiliation"/>
    <w:basedOn w:val="DefaultParagraphFont"/>
    <w:rsid w:val="00C63840"/>
  </w:style>
  <w:style w:type="character" w:customStyle="1" w:styleId="tlid-translation">
    <w:name w:val="tlid-translation"/>
    <w:basedOn w:val="DefaultParagraphFont"/>
    <w:rsid w:val="00BA387C"/>
  </w:style>
  <w:style w:type="paragraph" w:customStyle="1" w:styleId="Default">
    <w:name w:val="Default"/>
    <w:rsid w:val="00A06B4A"/>
    <w:pPr>
      <w:autoSpaceDE w:val="0"/>
      <w:autoSpaceDN w:val="0"/>
      <w:adjustRightInd w:val="0"/>
    </w:pPr>
    <w:rPr>
      <w:rFonts w:ascii="Times New Roman" w:hAnsi="Times New Roman" w:cs="Times New Roman"/>
      <w:color w:val="000000"/>
      <w:lang w:eastAsia="id-ID"/>
    </w:rPr>
  </w:style>
  <w:style w:type="character" w:customStyle="1" w:styleId="hlfld-contribauthor">
    <w:name w:val="hlfld-contribauthor"/>
    <w:basedOn w:val="DefaultParagraphFont"/>
    <w:rsid w:val="0064514D"/>
  </w:style>
  <w:style w:type="character" w:customStyle="1" w:styleId="nlmgiven-names">
    <w:name w:val="nlm_given-names"/>
    <w:basedOn w:val="DefaultParagraphFont"/>
    <w:rsid w:val="0064514D"/>
  </w:style>
  <w:style w:type="character" w:customStyle="1" w:styleId="nlmyear">
    <w:name w:val="nlm_year"/>
    <w:basedOn w:val="DefaultParagraphFont"/>
    <w:rsid w:val="0064514D"/>
  </w:style>
  <w:style w:type="character" w:customStyle="1" w:styleId="nlmarticle-title">
    <w:name w:val="nlm_article-title"/>
    <w:basedOn w:val="DefaultParagraphFont"/>
    <w:rsid w:val="0064514D"/>
  </w:style>
  <w:style w:type="character" w:customStyle="1" w:styleId="nlmfpage">
    <w:name w:val="nlm_fpage"/>
    <w:basedOn w:val="DefaultParagraphFont"/>
    <w:rsid w:val="0064514D"/>
  </w:style>
  <w:style w:type="character" w:customStyle="1" w:styleId="nlmlpage">
    <w:name w:val="nlm_lpage"/>
    <w:basedOn w:val="DefaultParagraphFont"/>
    <w:rsid w:val="0064514D"/>
  </w:style>
  <w:style w:type="character" w:customStyle="1" w:styleId="ListParagraphChar">
    <w:name w:val="List Paragraph Char"/>
    <w:aliases w:val="skripsi Char,YEAH! Char,Body Text Char1 Char,Char Char2 Char,List Paragraph2 Char,spasi 2 taiiii Char,Body of text Char,List Paragraph1 Char"/>
    <w:link w:val="ListParagraph"/>
    <w:uiPriority w:val="34"/>
    <w:rsid w:val="00A17F03"/>
  </w:style>
  <w:style w:type="table" w:customStyle="1" w:styleId="TableGrid0">
    <w:name w:val="TableGrid"/>
    <w:rsid w:val="00C12262"/>
    <w:rPr>
      <w:sz w:val="22"/>
      <w:szCs w:val="22"/>
      <w:lang w:val="en-US"/>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0A725F"/>
    <w:rPr>
      <w:rFonts w:eastAsiaTheme="majorEastAsia" w:cstheme="majorBidi"/>
      <w:i/>
      <w:iCs/>
      <w:color w:val="365F91" w:themeColor="accent1" w:themeShade="BF"/>
      <w:kern w:val="2"/>
      <w:sz w:val="22"/>
      <w:szCs w:val="22"/>
      <w:lang w:val="en-ID"/>
      <w14:ligatures w14:val="standardContextual"/>
    </w:rPr>
  </w:style>
  <w:style w:type="character" w:customStyle="1" w:styleId="Heading5Char">
    <w:name w:val="Heading 5 Char"/>
    <w:basedOn w:val="DefaultParagraphFont"/>
    <w:link w:val="Heading5"/>
    <w:uiPriority w:val="9"/>
    <w:semiHidden/>
    <w:rsid w:val="000A725F"/>
    <w:rPr>
      <w:rFonts w:eastAsiaTheme="majorEastAsia" w:cstheme="majorBidi"/>
      <w:color w:val="365F91" w:themeColor="accent1" w:themeShade="BF"/>
      <w:kern w:val="2"/>
      <w:sz w:val="22"/>
      <w:szCs w:val="22"/>
      <w:lang w:val="en-ID"/>
      <w14:ligatures w14:val="standardContextual"/>
    </w:rPr>
  </w:style>
  <w:style w:type="character" w:customStyle="1" w:styleId="Heading6Char">
    <w:name w:val="Heading 6 Char"/>
    <w:basedOn w:val="DefaultParagraphFont"/>
    <w:link w:val="Heading6"/>
    <w:uiPriority w:val="9"/>
    <w:semiHidden/>
    <w:rsid w:val="000A725F"/>
    <w:rPr>
      <w:rFonts w:eastAsiaTheme="majorEastAsia" w:cstheme="majorBidi"/>
      <w:i/>
      <w:iCs/>
      <w:color w:val="595959" w:themeColor="text1" w:themeTint="A6"/>
      <w:kern w:val="2"/>
      <w:sz w:val="22"/>
      <w:szCs w:val="22"/>
      <w:lang w:val="en-ID"/>
      <w14:ligatures w14:val="standardContextual"/>
    </w:rPr>
  </w:style>
  <w:style w:type="character" w:customStyle="1" w:styleId="Heading7Char">
    <w:name w:val="Heading 7 Char"/>
    <w:basedOn w:val="DefaultParagraphFont"/>
    <w:link w:val="Heading7"/>
    <w:uiPriority w:val="9"/>
    <w:semiHidden/>
    <w:rsid w:val="000A725F"/>
    <w:rPr>
      <w:rFonts w:eastAsiaTheme="majorEastAsia" w:cstheme="majorBidi"/>
      <w:color w:val="595959" w:themeColor="text1" w:themeTint="A6"/>
      <w:kern w:val="2"/>
      <w:sz w:val="22"/>
      <w:szCs w:val="22"/>
      <w:lang w:val="en-ID"/>
      <w14:ligatures w14:val="standardContextual"/>
    </w:rPr>
  </w:style>
  <w:style w:type="character" w:customStyle="1" w:styleId="Heading8Char">
    <w:name w:val="Heading 8 Char"/>
    <w:basedOn w:val="DefaultParagraphFont"/>
    <w:link w:val="Heading8"/>
    <w:uiPriority w:val="9"/>
    <w:semiHidden/>
    <w:rsid w:val="000A725F"/>
    <w:rPr>
      <w:rFonts w:eastAsiaTheme="majorEastAsia" w:cstheme="majorBidi"/>
      <w:i/>
      <w:iCs/>
      <w:color w:val="272727" w:themeColor="text1" w:themeTint="D8"/>
      <w:kern w:val="2"/>
      <w:sz w:val="22"/>
      <w:szCs w:val="22"/>
      <w:lang w:val="en-ID"/>
      <w14:ligatures w14:val="standardContextual"/>
    </w:rPr>
  </w:style>
  <w:style w:type="character" w:customStyle="1" w:styleId="Heading9Char">
    <w:name w:val="Heading 9 Char"/>
    <w:basedOn w:val="DefaultParagraphFont"/>
    <w:link w:val="Heading9"/>
    <w:uiPriority w:val="9"/>
    <w:semiHidden/>
    <w:rsid w:val="000A725F"/>
    <w:rPr>
      <w:rFonts w:eastAsiaTheme="majorEastAsia" w:cstheme="majorBidi"/>
      <w:color w:val="272727" w:themeColor="text1" w:themeTint="D8"/>
      <w:kern w:val="2"/>
      <w:sz w:val="22"/>
      <w:szCs w:val="22"/>
      <w:lang w:val="en-ID"/>
      <w14:ligatures w14:val="standardContextual"/>
    </w:rPr>
  </w:style>
  <w:style w:type="paragraph" w:styleId="Title">
    <w:name w:val="Title"/>
    <w:basedOn w:val="Normal"/>
    <w:next w:val="Normal"/>
    <w:link w:val="TitleChar"/>
    <w:uiPriority w:val="10"/>
    <w:qFormat/>
    <w:rsid w:val="000A72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725F"/>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0A72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725F"/>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0A725F"/>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A725F"/>
    <w:rPr>
      <w:rFonts w:eastAsiaTheme="minorHAnsi"/>
      <w:i/>
      <w:iCs/>
      <w:color w:val="404040" w:themeColor="text1" w:themeTint="BF"/>
      <w:kern w:val="2"/>
      <w:sz w:val="22"/>
      <w:szCs w:val="22"/>
      <w:lang w:val="en-ID"/>
      <w14:ligatures w14:val="standardContextual"/>
    </w:rPr>
  </w:style>
  <w:style w:type="character" w:styleId="IntenseEmphasis">
    <w:name w:val="Intense Emphasis"/>
    <w:basedOn w:val="DefaultParagraphFont"/>
    <w:uiPriority w:val="21"/>
    <w:qFormat/>
    <w:rsid w:val="000A725F"/>
    <w:rPr>
      <w:i/>
      <w:iCs/>
      <w:color w:val="365F91" w:themeColor="accent1" w:themeShade="BF"/>
    </w:rPr>
  </w:style>
  <w:style w:type="paragraph" w:styleId="IntenseQuote">
    <w:name w:val="Intense Quote"/>
    <w:basedOn w:val="Normal"/>
    <w:next w:val="Normal"/>
    <w:link w:val="IntenseQuoteChar"/>
    <w:uiPriority w:val="30"/>
    <w:qFormat/>
    <w:rsid w:val="000A725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A725F"/>
    <w:rPr>
      <w:rFonts w:eastAsiaTheme="minorHAnsi"/>
      <w:i/>
      <w:iCs/>
      <w:color w:val="365F91" w:themeColor="accent1" w:themeShade="BF"/>
      <w:kern w:val="2"/>
      <w:sz w:val="22"/>
      <w:szCs w:val="22"/>
      <w:lang w:val="en-ID"/>
      <w14:ligatures w14:val="standardContextual"/>
    </w:rPr>
  </w:style>
  <w:style w:type="character" w:styleId="IntenseReference">
    <w:name w:val="Intense Reference"/>
    <w:basedOn w:val="DefaultParagraphFont"/>
    <w:uiPriority w:val="32"/>
    <w:qFormat/>
    <w:rsid w:val="000A725F"/>
    <w:rPr>
      <w:b/>
      <w:bCs/>
      <w:smallCaps/>
      <w:color w:val="365F91" w:themeColor="accent1" w:themeShade="BF"/>
      <w:spacing w:val="5"/>
    </w:rPr>
  </w:style>
  <w:style w:type="character" w:styleId="UnresolvedMention">
    <w:name w:val="Unresolved Mention"/>
    <w:basedOn w:val="DefaultParagraphFont"/>
    <w:uiPriority w:val="99"/>
    <w:semiHidden/>
    <w:unhideWhenUsed/>
    <w:rsid w:val="000A725F"/>
    <w:rPr>
      <w:color w:val="605E5C"/>
      <w:shd w:val="clear" w:color="auto" w:fill="E1DFDD"/>
    </w:rPr>
  </w:style>
  <w:style w:type="table" w:styleId="PlainTable1">
    <w:name w:val="Plain Table 1"/>
    <w:basedOn w:val="TableNormal"/>
    <w:uiPriority w:val="41"/>
    <w:rsid w:val="000A72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41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34D8"/>
    <w:rPr>
      <w:b/>
      <w:bCs/>
    </w:rPr>
  </w:style>
  <w:style w:type="paragraph" w:customStyle="1" w:styleId="Standard">
    <w:name w:val="Standard"/>
    <w:link w:val="StandardChar"/>
    <w:rsid w:val="00864D0E"/>
    <w:pPr>
      <w:suppressAutoHyphens/>
      <w:autoSpaceDN w:val="0"/>
      <w:spacing w:after="200" w:line="276" w:lineRule="auto"/>
      <w:textAlignment w:val="baseline"/>
    </w:pPr>
    <w:rPr>
      <w:rFonts w:ascii="Calibri" w:eastAsia="Calibri" w:hAnsi="Calibri" w:cs="Tahoma"/>
      <w:sz w:val="22"/>
      <w:szCs w:val="22"/>
      <w:lang w:val="id-ID"/>
    </w:rPr>
  </w:style>
  <w:style w:type="character" w:customStyle="1" w:styleId="StandardChar">
    <w:name w:val="Standard Char"/>
    <w:basedOn w:val="DefaultParagraphFont"/>
    <w:link w:val="Standard"/>
    <w:rsid w:val="00864D0E"/>
    <w:rPr>
      <w:rFonts w:ascii="Calibri" w:eastAsia="Calibri" w:hAnsi="Calibri" w:cs="Tahoma"/>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66">
      <w:bodyDiv w:val="1"/>
      <w:marLeft w:val="0"/>
      <w:marRight w:val="0"/>
      <w:marTop w:val="0"/>
      <w:marBottom w:val="0"/>
      <w:divBdr>
        <w:top w:val="none" w:sz="0" w:space="0" w:color="auto"/>
        <w:left w:val="none" w:sz="0" w:space="0" w:color="auto"/>
        <w:bottom w:val="none" w:sz="0" w:space="0" w:color="auto"/>
        <w:right w:val="none" w:sz="0" w:space="0" w:color="auto"/>
      </w:divBdr>
    </w:div>
    <w:div w:id="13775812">
      <w:bodyDiv w:val="1"/>
      <w:marLeft w:val="0"/>
      <w:marRight w:val="0"/>
      <w:marTop w:val="0"/>
      <w:marBottom w:val="0"/>
      <w:divBdr>
        <w:top w:val="none" w:sz="0" w:space="0" w:color="auto"/>
        <w:left w:val="none" w:sz="0" w:space="0" w:color="auto"/>
        <w:bottom w:val="none" w:sz="0" w:space="0" w:color="auto"/>
        <w:right w:val="none" w:sz="0" w:space="0" w:color="auto"/>
      </w:divBdr>
    </w:div>
    <w:div w:id="20672186">
      <w:bodyDiv w:val="1"/>
      <w:marLeft w:val="0"/>
      <w:marRight w:val="0"/>
      <w:marTop w:val="0"/>
      <w:marBottom w:val="0"/>
      <w:divBdr>
        <w:top w:val="none" w:sz="0" w:space="0" w:color="auto"/>
        <w:left w:val="none" w:sz="0" w:space="0" w:color="auto"/>
        <w:bottom w:val="none" w:sz="0" w:space="0" w:color="auto"/>
        <w:right w:val="none" w:sz="0" w:space="0" w:color="auto"/>
      </w:divBdr>
    </w:div>
    <w:div w:id="23991269">
      <w:bodyDiv w:val="1"/>
      <w:marLeft w:val="0"/>
      <w:marRight w:val="0"/>
      <w:marTop w:val="0"/>
      <w:marBottom w:val="0"/>
      <w:divBdr>
        <w:top w:val="none" w:sz="0" w:space="0" w:color="auto"/>
        <w:left w:val="none" w:sz="0" w:space="0" w:color="auto"/>
        <w:bottom w:val="none" w:sz="0" w:space="0" w:color="auto"/>
        <w:right w:val="none" w:sz="0" w:space="0" w:color="auto"/>
      </w:divBdr>
      <w:divsChild>
        <w:div w:id="473110029">
          <w:marLeft w:val="0"/>
          <w:marRight w:val="0"/>
          <w:marTop w:val="0"/>
          <w:marBottom w:val="0"/>
          <w:divBdr>
            <w:top w:val="none" w:sz="0" w:space="0" w:color="auto"/>
            <w:left w:val="none" w:sz="0" w:space="0" w:color="auto"/>
            <w:bottom w:val="none" w:sz="0" w:space="0" w:color="auto"/>
            <w:right w:val="none" w:sz="0" w:space="0" w:color="auto"/>
          </w:divBdr>
          <w:divsChild>
            <w:div w:id="1573616452">
              <w:marLeft w:val="0"/>
              <w:marRight w:val="0"/>
              <w:marTop w:val="0"/>
              <w:marBottom w:val="0"/>
              <w:divBdr>
                <w:top w:val="none" w:sz="0" w:space="0" w:color="auto"/>
                <w:left w:val="none" w:sz="0" w:space="0" w:color="auto"/>
                <w:bottom w:val="none" w:sz="0" w:space="0" w:color="auto"/>
                <w:right w:val="none" w:sz="0" w:space="0" w:color="auto"/>
              </w:divBdr>
              <w:divsChild>
                <w:div w:id="7780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568">
      <w:bodyDiv w:val="1"/>
      <w:marLeft w:val="0"/>
      <w:marRight w:val="0"/>
      <w:marTop w:val="0"/>
      <w:marBottom w:val="0"/>
      <w:divBdr>
        <w:top w:val="none" w:sz="0" w:space="0" w:color="auto"/>
        <w:left w:val="none" w:sz="0" w:space="0" w:color="auto"/>
        <w:bottom w:val="none" w:sz="0" w:space="0" w:color="auto"/>
        <w:right w:val="none" w:sz="0" w:space="0" w:color="auto"/>
      </w:divBdr>
    </w:div>
    <w:div w:id="39477780">
      <w:bodyDiv w:val="1"/>
      <w:marLeft w:val="0"/>
      <w:marRight w:val="0"/>
      <w:marTop w:val="0"/>
      <w:marBottom w:val="0"/>
      <w:divBdr>
        <w:top w:val="none" w:sz="0" w:space="0" w:color="auto"/>
        <w:left w:val="none" w:sz="0" w:space="0" w:color="auto"/>
        <w:bottom w:val="none" w:sz="0" w:space="0" w:color="auto"/>
        <w:right w:val="none" w:sz="0" w:space="0" w:color="auto"/>
      </w:divBdr>
      <w:divsChild>
        <w:div w:id="351996101">
          <w:marLeft w:val="0"/>
          <w:marRight w:val="0"/>
          <w:marTop w:val="0"/>
          <w:marBottom w:val="0"/>
          <w:divBdr>
            <w:top w:val="none" w:sz="0" w:space="0" w:color="auto"/>
            <w:left w:val="none" w:sz="0" w:space="0" w:color="auto"/>
            <w:bottom w:val="none" w:sz="0" w:space="0" w:color="auto"/>
            <w:right w:val="none" w:sz="0" w:space="0" w:color="auto"/>
          </w:divBdr>
          <w:divsChild>
            <w:div w:id="237905730">
              <w:marLeft w:val="0"/>
              <w:marRight w:val="0"/>
              <w:marTop w:val="0"/>
              <w:marBottom w:val="0"/>
              <w:divBdr>
                <w:top w:val="none" w:sz="0" w:space="0" w:color="auto"/>
                <w:left w:val="none" w:sz="0" w:space="0" w:color="auto"/>
                <w:bottom w:val="none" w:sz="0" w:space="0" w:color="auto"/>
                <w:right w:val="none" w:sz="0" w:space="0" w:color="auto"/>
              </w:divBdr>
              <w:divsChild>
                <w:div w:id="905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2260">
      <w:bodyDiv w:val="1"/>
      <w:marLeft w:val="0"/>
      <w:marRight w:val="0"/>
      <w:marTop w:val="0"/>
      <w:marBottom w:val="0"/>
      <w:divBdr>
        <w:top w:val="none" w:sz="0" w:space="0" w:color="auto"/>
        <w:left w:val="none" w:sz="0" w:space="0" w:color="auto"/>
        <w:bottom w:val="none" w:sz="0" w:space="0" w:color="auto"/>
        <w:right w:val="none" w:sz="0" w:space="0" w:color="auto"/>
      </w:divBdr>
    </w:div>
    <w:div w:id="71051558">
      <w:bodyDiv w:val="1"/>
      <w:marLeft w:val="0"/>
      <w:marRight w:val="0"/>
      <w:marTop w:val="0"/>
      <w:marBottom w:val="0"/>
      <w:divBdr>
        <w:top w:val="none" w:sz="0" w:space="0" w:color="auto"/>
        <w:left w:val="none" w:sz="0" w:space="0" w:color="auto"/>
        <w:bottom w:val="none" w:sz="0" w:space="0" w:color="auto"/>
        <w:right w:val="none" w:sz="0" w:space="0" w:color="auto"/>
      </w:divBdr>
    </w:div>
    <w:div w:id="122817937">
      <w:bodyDiv w:val="1"/>
      <w:marLeft w:val="0"/>
      <w:marRight w:val="0"/>
      <w:marTop w:val="0"/>
      <w:marBottom w:val="0"/>
      <w:divBdr>
        <w:top w:val="none" w:sz="0" w:space="0" w:color="auto"/>
        <w:left w:val="none" w:sz="0" w:space="0" w:color="auto"/>
        <w:bottom w:val="none" w:sz="0" w:space="0" w:color="auto"/>
        <w:right w:val="none" w:sz="0" w:space="0" w:color="auto"/>
      </w:divBdr>
    </w:div>
    <w:div w:id="137500982">
      <w:bodyDiv w:val="1"/>
      <w:marLeft w:val="0"/>
      <w:marRight w:val="0"/>
      <w:marTop w:val="0"/>
      <w:marBottom w:val="0"/>
      <w:divBdr>
        <w:top w:val="none" w:sz="0" w:space="0" w:color="auto"/>
        <w:left w:val="none" w:sz="0" w:space="0" w:color="auto"/>
        <w:bottom w:val="none" w:sz="0" w:space="0" w:color="auto"/>
        <w:right w:val="none" w:sz="0" w:space="0" w:color="auto"/>
      </w:divBdr>
    </w:div>
    <w:div w:id="155659119">
      <w:bodyDiv w:val="1"/>
      <w:marLeft w:val="0"/>
      <w:marRight w:val="0"/>
      <w:marTop w:val="0"/>
      <w:marBottom w:val="0"/>
      <w:divBdr>
        <w:top w:val="none" w:sz="0" w:space="0" w:color="auto"/>
        <w:left w:val="none" w:sz="0" w:space="0" w:color="auto"/>
        <w:bottom w:val="none" w:sz="0" w:space="0" w:color="auto"/>
        <w:right w:val="none" w:sz="0" w:space="0" w:color="auto"/>
      </w:divBdr>
    </w:div>
    <w:div w:id="190995707">
      <w:bodyDiv w:val="1"/>
      <w:marLeft w:val="0"/>
      <w:marRight w:val="0"/>
      <w:marTop w:val="0"/>
      <w:marBottom w:val="0"/>
      <w:divBdr>
        <w:top w:val="none" w:sz="0" w:space="0" w:color="auto"/>
        <w:left w:val="none" w:sz="0" w:space="0" w:color="auto"/>
        <w:bottom w:val="none" w:sz="0" w:space="0" w:color="auto"/>
        <w:right w:val="none" w:sz="0" w:space="0" w:color="auto"/>
      </w:divBdr>
    </w:div>
    <w:div w:id="192497017">
      <w:bodyDiv w:val="1"/>
      <w:marLeft w:val="0"/>
      <w:marRight w:val="0"/>
      <w:marTop w:val="0"/>
      <w:marBottom w:val="0"/>
      <w:divBdr>
        <w:top w:val="none" w:sz="0" w:space="0" w:color="auto"/>
        <w:left w:val="none" w:sz="0" w:space="0" w:color="auto"/>
        <w:bottom w:val="none" w:sz="0" w:space="0" w:color="auto"/>
        <w:right w:val="none" w:sz="0" w:space="0" w:color="auto"/>
      </w:divBdr>
    </w:div>
    <w:div w:id="222067178">
      <w:bodyDiv w:val="1"/>
      <w:marLeft w:val="0"/>
      <w:marRight w:val="0"/>
      <w:marTop w:val="0"/>
      <w:marBottom w:val="0"/>
      <w:divBdr>
        <w:top w:val="none" w:sz="0" w:space="0" w:color="auto"/>
        <w:left w:val="none" w:sz="0" w:space="0" w:color="auto"/>
        <w:bottom w:val="none" w:sz="0" w:space="0" w:color="auto"/>
        <w:right w:val="none" w:sz="0" w:space="0" w:color="auto"/>
      </w:divBdr>
    </w:div>
    <w:div w:id="223297136">
      <w:bodyDiv w:val="1"/>
      <w:marLeft w:val="0"/>
      <w:marRight w:val="0"/>
      <w:marTop w:val="0"/>
      <w:marBottom w:val="0"/>
      <w:divBdr>
        <w:top w:val="none" w:sz="0" w:space="0" w:color="auto"/>
        <w:left w:val="none" w:sz="0" w:space="0" w:color="auto"/>
        <w:bottom w:val="none" w:sz="0" w:space="0" w:color="auto"/>
        <w:right w:val="none" w:sz="0" w:space="0" w:color="auto"/>
      </w:divBdr>
      <w:divsChild>
        <w:div w:id="1393580095">
          <w:marLeft w:val="0"/>
          <w:marRight w:val="0"/>
          <w:marTop w:val="0"/>
          <w:marBottom w:val="0"/>
          <w:divBdr>
            <w:top w:val="none" w:sz="0" w:space="0" w:color="auto"/>
            <w:left w:val="none" w:sz="0" w:space="0" w:color="auto"/>
            <w:bottom w:val="none" w:sz="0" w:space="0" w:color="auto"/>
            <w:right w:val="none" w:sz="0" w:space="0" w:color="auto"/>
          </w:divBdr>
          <w:divsChild>
            <w:div w:id="28578773">
              <w:marLeft w:val="0"/>
              <w:marRight w:val="0"/>
              <w:marTop w:val="0"/>
              <w:marBottom w:val="0"/>
              <w:divBdr>
                <w:top w:val="none" w:sz="0" w:space="0" w:color="auto"/>
                <w:left w:val="none" w:sz="0" w:space="0" w:color="auto"/>
                <w:bottom w:val="none" w:sz="0" w:space="0" w:color="auto"/>
                <w:right w:val="none" w:sz="0" w:space="0" w:color="auto"/>
              </w:divBdr>
              <w:divsChild>
                <w:div w:id="548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820">
      <w:bodyDiv w:val="1"/>
      <w:marLeft w:val="0"/>
      <w:marRight w:val="0"/>
      <w:marTop w:val="0"/>
      <w:marBottom w:val="0"/>
      <w:divBdr>
        <w:top w:val="none" w:sz="0" w:space="0" w:color="auto"/>
        <w:left w:val="none" w:sz="0" w:space="0" w:color="auto"/>
        <w:bottom w:val="none" w:sz="0" w:space="0" w:color="auto"/>
        <w:right w:val="none" w:sz="0" w:space="0" w:color="auto"/>
      </w:divBdr>
    </w:div>
    <w:div w:id="226116933">
      <w:bodyDiv w:val="1"/>
      <w:marLeft w:val="0"/>
      <w:marRight w:val="0"/>
      <w:marTop w:val="0"/>
      <w:marBottom w:val="0"/>
      <w:divBdr>
        <w:top w:val="none" w:sz="0" w:space="0" w:color="auto"/>
        <w:left w:val="none" w:sz="0" w:space="0" w:color="auto"/>
        <w:bottom w:val="none" w:sz="0" w:space="0" w:color="auto"/>
        <w:right w:val="none" w:sz="0" w:space="0" w:color="auto"/>
      </w:divBdr>
    </w:div>
    <w:div w:id="245236776">
      <w:bodyDiv w:val="1"/>
      <w:marLeft w:val="0"/>
      <w:marRight w:val="0"/>
      <w:marTop w:val="0"/>
      <w:marBottom w:val="0"/>
      <w:divBdr>
        <w:top w:val="none" w:sz="0" w:space="0" w:color="auto"/>
        <w:left w:val="none" w:sz="0" w:space="0" w:color="auto"/>
        <w:bottom w:val="none" w:sz="0" w:space="0" w:color="auto"/>
        <w:right w:val="none" w:sz="0" w:space="0" w:color="auto"/>
      </w:divBdr>
    </w:div>
    <w:div w:id="250622510">
      <w:bodyDiv w:val="1"/>
      <w:marLeft w:val="0"/>
      <w:marRight w:val="0"/>
      <w:marTop w:val="0"/>
      <w:marBottom w:val="0"/>
      <w:divBdr>
        <w:top w:val="none" w:sz="0" w:space="0" w:color="auto"/>
        <w:left w:val="none" w:sz="0" w:space="0" w:color="auto"/>
        <w:bottom w:val="none" w:sz="0" w:space="0" w:color="auto"/>
        <w:right w:val="none" w:sz="0" w:space="0" w:color="auto"/>
      </w:divBdr>
    </w:div>
    <w:div w:id="253249011">
      <w:bodyDiv w:val="1"/>
      <w:marLeft w:val="0"/>
      <w:marRight w:val="0"/>
      <w:marTop w:val="0"/>
      <w:marBottom w:val="0"/>
      <w:divBdr>
        <w:top w:val="none" w:sz="0" w:space="0" w:color="auto"/>
        <w:left w:val="none" w:sz="0" w:space="0" w:color="auto"/>
        <w:bottom w:val="none" w:sz="0" w:space="0" w:color="auto"/>
        <w:right w:val="none" w:sz="0" w:space="0" w:color="auto"/>
      </w:divBdr>
    </w:div>
    <w:div w:id="253438471">
      <w:bodyDiv w:val="1"/>
      <w:marLeft w:val="0"/>
      <w:marRight w:val="0"/>
      <w:marTop w:val="0"/>
      <w:marBottom w:val="0"/>
      <w:divBdr>
        <w:top w:val="none" w:sz="0" w:space="0" w:color="auto"/>
        <w:left w:val="none" w:sz="0" w:space="0" w:color="auto"/>
        <w:bottom w:val="none" w:sz="0" w:space="0" w:color="auto"/>
        <w:right w:val="none" w:sz="0" w:space="0" w:color="auto"/>
      </w:divBdr>
    </w:div>
    <w:div w:id="260188523">
      <w:bodyDiv w:val="1"/>
      <w:marLeft w:val="0"/>
      <w:marRight w:val="0"/>
      <w:marTop w:val="0"/>
      <w:marBottom w:val="0"/>
      <w:divBdr>
        <w:top w:val="none" w:sz="0" w:space="0" w:color="auto"/>
        <w:left w:val="none" w:sz="0" w:space="0" w:color="auto"/>
        <w:bottom w:val="none" w:sz="0" w:space="0" w:color="auto"/>
        <w:right w:val="none" w:sz="0" w:space="0" w:color="auto"/>
      </w:divBdr>
    </w:div>
    <w:div w:id="317416490">
      <w:bodyDiv w:val="1"/>
      <w:marLeft w:val="0"/>
      <w:marRight w:val="0"/>
      <w:marTop w:val="0"/>
      <w:marBottom w:val="0"/>
      <w:divBdr>
        <w:top w:val="none" w:sz="0" w:space="0" w:color="auto"/>
        <w:left w:val="none" w:sz="0" w:space="0" w:color="auto"/>
        <w:bottom w:val="none" w:sz="0" w:space="0" w:color="auto"/>
        <w:right w:val="none" w:sz="0" w:space="0" w:color="auto"/>
      </w:divBdr>
    </w:div>
    <w:div w:id="382992606">
      <w:bodyDiv w:val="1"/>
      <w:marLeft w:val="0"/>
      <w:marRight w:val="0"/>
      <w:marTop w:val="0"/>
      <w:marBottom w:val="0"/>
      <w:divBdr>
        <w:top w:val="none" w:sz="0" w:space="0" w:color="auto"/>
        <w:left w:val="none" w:sz="0" w:space="0" w:color="auto"/>
        <w:bottom w:val="none" w:sz="0" w:space="0" w:color="auto"/>
        <w:right w:val="none" w:sz="0" w:space="0" w:color="auto"/>
      </w:divBdr>
    </w:div>
    <w:div w:id="386690426">
      <w:bodyDiv w:val="1"/>
      <w:marLeft w:val="0"/>
      <w:marRight w:val="0"/>
      <w:marTop w:val="0"/>
      <w:marBottom w:val="0"/>
      <w:divBdr>
        <w:top w:val="none" w:sz="0" w:space="0" w:color="auto"/>
        <w:left w:val="none" w:sz="0" w:space="0" w:color="auto"/>
        <w:bottom w:val="none" w:sz="0" w:space="0" w:color="auto"/>
        <w:right w:val="none" w:sz="0" w:space="0" w:color="auto"/>
      </w:divBdr>
      <w:divsChild>
        <w:div w:id="2139830551">
          <w:marLeft w:val="0"/>
          <w:marRight w:val="0"/>
          <w:marTop w:val="0"/>
          <w:marBottom w:val="0"/>
          <w:divBdr>
            <w:top w:val="none" w:sz="0" w:space="0" w:color="auto"/>
            <w:left w:val="none" w:sz="0" w:space="0" w:color="auto"/>
            <w:bottom w:val="none" w:sz="0" w:space="0" w:color="auto"/>
            <w:right w:val="none" w:sz="0" w:space="0" w:color="auto"/>
          </w:divBdr>
        </w:div>
        <w:div w:id="1170094932">
          <w:marLeft w:val="0"/>
          <w:marRight w:val="0"/>
          <w:marTop w:val="0"/>
          <w:marBottom w:val="0"/>
          <w:divBdr>
            <w:top w:val="none" w:sz="0" w:space="0" w:color="auto"/>
            <w:left w:val="none" w:sz="0" w:space="0" w:color="auto"/>
            <w:bottom w:val="none" w:sz="0" w:space="0" w:color="auto"/>
            <w:right w:val="none" w:sz="0" w:space="0" w:color="auto"/>
          </w:divBdr>
        </w:div>
        <w:div w:id="1287084572">
          <w:marLeft w:val="0"/>
          <w:marRight w:val="0"/>
          <w:marTop w:val="0"/>
          <w:marBottom w:val="0"/>
          <w:divBdr>
            <w:top w:val="none" w:sz="0" w:space="0" w:color="auto"/>
            <w:left w:val="none" w:sz="0" w:space="0" w:color="auto"/>
            <w:bottom w:val="none" w:sz="0" w:space="0" w:color="auto"/>
            <w:right w:val="none" w:sz="0" w:space="0" w:color="auto"/>
          </w:divBdr>
        </w:div>
        <w:div w:id="1734349229">
          <w:marLeft w:val="0"/>
          <w:marRight w:val="0"/>
          <w:marTop w:val="0"/>
          <w:marBottom w:val="0"/>
          <w:divBdr>
            <w:top w:val="none" w:sz="0" w:space="0" w:color="auto"/>
            <w:left w:val="none" w:sz="0" w:space="0" w:color="auto"/>
            <w:bottom w:val="none" w:sz="0" w:space="0" w:color="auto"/>
            <w:right w:val="none" w:sz="0" w:space="0" w:color="auto"/>
          </w:divBdr>
        </w:div>
      </w:divsChild>
    </w:div>
    <w:div w:id="395667934">
      <w:bodyDiv w:val="1"/>
      <w:marLeft w:val="0"/>
      <w:marRight w:val="0"/>
      <w:marTop w:val="0"/>
      <w:marBottom w:val="0"/>
      <w:divBdr>
        <w:top w:val="none" w:sz="0" w:space="0" w:color="auto"/>
        <w:left w:val="none" w:sz="0" w:space="0" w:color="auto"/>
        <w:bottom w:val="none" w:sz="0" w:space="0" w:color="auto"/>
        <w:right w:val="none" w:sz="0" w:space="0" w:color="auto"/>
      </w:divBdr>
    </w:div>
    <w:div w:id="404959735">
      <w:bodyDiv w:val="1"/>
      <w:marLeft w:val="0"/>
      <w:marRight w:val="0"/>
      <w:marTop w:val="0"/>
      <w:marBottom w:val="0"/>
      <w:divBdr>
        <w:top w:val="none" w:sz="0" w:space="0" w:color="auto"/>
        <w:left w:val="none" w:sz="0" w:space="0" w:color="auto"/>
        <w:bottom w:val="none" w:sz="0" w:space="0" w:color="auto"/>
        <w:right w:val="none" w:sz="0" w:space="0" w:color="auto"/>
      </w:divBdr>
      <w:divsChild>
        <w:div w:id="60298372">
          <w:marLeft w:val="0"/>
          <w:marRight w:val="0"/>
          <w:marTop w:val="0"/>
          <w:marBottom w:val="0"/>
          <w:divBdr>
            <w:top w:val="none" w:sz="0" w:space="0" w:color="auto"/>
            <w:left w:val="none" w:sz="0" w:space="0" w:color="auto"/>
            <w:bottom w:val="none" w:sz="0" w:space="0" w:color="auto"/>
            <w:right w:val="none" w:sz="0" w:space="0" w:color="auto"/>
          </w:divBdr>
          <w:divsChild>
            <w:div w:id="340203655">
              <w:marLeft w:val="0"/>
              <w:marRight w:val="0"/>
              <w:marTop w:val="0"/>
              <w:marBottom w:val="0"/>
              <w:divBdr>
                <w:top w:val="none" w:sz="0" w:space="0" w:color="auto"/>
                <w:left w:val="none" w:sz="0" w:space="0" w:color="auto"/>
                <w:bottom w:val="none" w:sz="0" w:space="0" w:color="auto"/>
                <w:right w:val="none" w:sz="0" w:space="0" w:color="auto"/>
              </w:divBdr>
              <w:divsChild>
                <w:div w:id="626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6132">
      <w:bodyDiv w:val="1"/>
      <w:marLeft w:val="0"/>
      <w:marRight w:val="0"/>
      <w:marTop w:val="0"/>
      <w:marBottom w:val="0"/>
      <w:divBdr>
        <w:top w:val="none" w:sz="0" w:space="0" w:color="auto"/>
        <w:left w:val="none" w:sz="0" w:space="0" w:color="auto"/>
        <w:bottom w:val="none" w:sz="0" w:space="0" w:color="auto"/>
        <w:right w:val="none" w:sz="0" w:space="0" w:color="auto"/>
      </w:divBdr>
    </w:div>
    <w:div w:id="462230424">
      <w:bodyDiv w:val="1"/>
      <w:marLeft w:val="0"/>
      <w:marRight w:val="0"/>
      <w:marTop w:val="0"/>
      <w:marBottom w:val="0"/>
      <w:divBdr>
        <w:top w:val="none" w:sz="0" w:space="0" w:color="auto"/>
        <w:left w:val="none" w:sz="0" w:space="0" w:color="auto"/>
        <w:bottom w:val="none" w:sz="0" w:space="0" w:color="auto"/>
        <w:right w:val="none" w:sz="0" w:space="0" w:color="auto"/>
      </w:divBdr>
    </w:div>
    <w:div w:id="48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78791300">
          <w:marLeft w:val="0"/>
          <w:marRight w:val="0"/>
          <w:marTop w:val="0"/>
          <w:marBottom w:val="0"/>
          <w:divBdr>
            <w:top w:val="none" w:sz="0" w:space="0" w:color="auto"/>
            <w:left w:val="none" w:sz="0" w:space="0" w:color="auto"/>
            <w:bottom w:val="none" w:sz="0" w:space="0" w:color="auto"/>
            <w:right w:val="none" w:sz="0" w:space="0" w:color="auto"/>
          </w:divBdr>
          <w:divsChild>
            <w:div w:id="776756229">
              <w:marLeft w:val="0"/>
              <w:marRight w:val="0"/>
              <w:marTop w:val="0"/>
              <w:marBottom w:val="0"/>
              <w:divBdr>
                <w:top w:val="none" w:sz="0" w:space="0" w:color="auto"/>
                <w:left w:val="none" w:sz="0" w:space="0" w:color="auto"/>
                <w:bottom w:val="none" w:sz="0" w:space="0" w:color="auto"/>
                <w:right w:val="none" w:sz="0" w:space="0" w:color="auto"/>
              </w:divBdr>
              <w:divsChild>
                <w:div w:id="371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2346">
      <w:bodyDiv w:val="1"/>
      <w:marLeft w:val="0"/>
      <w:marRight w:val="0"/>
      <w:marTop w:val="0"/>
      <w:marBottom w:val="0"/>
      <w:divBdr>
        <w:top w:val="none" w:sz="0" w:space="0" w:color="auto"/>
        <w:left w:val="none" w:sz="0" w:space="0" w:color="auto"/>
        <w:bottom w:val="none" w:sz="0" w:space="0" w:color="auto"/>
        <w:right w:val="none" w:sz="0" w:space="0" w:color="auto"/>
      </w:divBdr>
      <w:divsChild>
        <w:div w:id="190147082">
          <w:marLeft w:val="0"/>
          <w:marRight w:val="0"/>
          <w:marTop w:val="0"/>
          <w:marBottom w:val="0"/>
          <w:divBdr>
            <w:top w:val="none" w:sz="0" w:space="0" w:color="auto"/>
            <w:left w:val="none" w:sz="0" w:space="0" w:color="auto"/>
            <w:bottom w:val="none" w:sz="0" w:space="0" w:color="auto"/>
            <w:right w:val="none" w:sz="0" w:space="0" w:color="auto"/>
          </w:divBdr>
          <w:divsChild>
            <w:div w:id="762411981">
              <w:marLeft w:val="0"/>
              <w:marRight w:val="0"/>
              <w:marTop w:val="0"/>
              <w:marBottom w:val="0"/>
              <w:divBdr>
                <w:top w:val="none" w:sz="0" w:space="0" w:color="auto"/>
                <w:left w:val="none" w:sz="0" w:space="0" w:color="auto"/>
                <w:bottom w:val="none" w:sz="0" w:space="0" w:color="auto"/>
                <w:right w:val="none" w:sz="0" w:space="0" w:color="auto"/>
              </w:divBdr>
              <w:divsChild>
                <w:div w:id="2014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762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12">
          <w:marLeft w:val="0"/>
          <w:marRight w:val="0"/>
          <w:marTop w:val="0"/>
          <w:marBottom w:val="0"/>
          <w:divBdr>
            <w:top w:val="none" w:sz="0" w:space="0" w:color="auto"/>
            <w:left w:val="none" w:sz="0" w:space="0" w:color="auto"/>
            <w:bottom w:val="none" w:sz="0" w:space="0" w:color="auto"/>
            <w:right w:val="none" w:sz="0" w:space="0" w:color="auto"/>
          </w:divBdr>
          <w:divsChild>
            <w:div w:id="137877722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91139">
      <w:bodyDiv w:val="1"/>
      <w:marLeft w:val="0"/>
      <w:marRight w:val="0"/>
      <w:marTop w:val="0"/>
      <w:marBottom w:val="0"/>
      <w:divBdr>
        <w:top w:val="none" w:sz="0" w:space="0" w:color="auto"/>
        <w:left w:val="none" w:sz="0" w:space="0" w:color="auto"/>
        <w:bottom w:val="none" w:sz="0" w:space="0" w:color="auto"/>
        <w:right w:val="none" w:sz="0" w:space="0" w:color="auto"/>
      </w:divBdr>
    </w:div>
    <w:div w:id="553932111">
      <w:bodyDiv w:val="1"/>
      <w:marLeft w:val="0"/>
      <w:marRight w:val="0"/>
      <w:marTop w:val="0"/>
      <w:marBottom w:val="0"/>
      <w:divBdr>
        <w:top w:val="none" w:sz="0" w:space="0" w:color="auto"/>
        <w:left w:val="none" w:sz="0" w:space="0" w:color="auto"/>
        <w:bottom w:val="none" w:sz="0" w:space="0" w:color="auto"/>
        <w:right w:val="none" w:sz="0" w:space="0" w:color="auto"/>
      </w:divBdr>
    </w:div>
    <w:div w:id="555356423">
      <w:bodyDiv w:val="1"/>
      <w:marLeft w:val="0"/>
      <w:marRight w:val="0"/>
      <w:marTop w:val="0"/>
      <w:marBottom w:val="0"/>
      <w:divBdr>
        <w:top w:val="none" w:sz="0" w:space="0" w:color="auto"/>
        <w:left w:val="none" w:sz="0" w:space="0" w:color="auto"/>
        <w:bottom w:val="none" w:sz="0" w:space="0" w:color="auto"/>
        <w:right w:val="none" w:sz="0" w:space="0" w:color="auto"/>
      </w:divBdr>
    </w:div>
    <w:div w:id="574972634">
      <w:bodyDiv w:val="1"/>
      <w:marLeft w:val="0"/>
      <w:marRight w:val="0"/>
      <w:marTop w:val="0"/>
      <w:marBottom w:val="0"/>
      <w:divBdr>
        <w:top w:val="none" w:sz="0" w:space="0" w:color="auto"/>
        <w:left w:val="none" w:sz="0" w:space="0" w:color="auto"/>
        <w:bottom w:val="none" w:sz="0" w:space="0" w:color="auto"/>
        <w:right w:val="none" w:sz="0" w:space="0" w:color="auto"/>
      </w:divBdr>
    </w:div>
    <w:div w:id="576477370">
      <w:bodyDiv w:val="1"/>
      <w:marLeft w:val="0"/>
      <w:marRight w:val="0"/>
      <w:marTop w:val="0"/>
      <w:marBottom w:val="0"/>
      <w:divBdr>
        <w:top w:val="none" w:sz="0" w:space="0" w:color="auto"/>
        <w:left w:val="none" w:sz="0" w:space="0" w:color="auto"/>
        <w:bottom w:val="none" w:sz="0" w:space="0" w:color="auto"/>
        <w:right w:val="none" w:sz="0" w:space="0" w:color="auto"/>
      </w:divBdr>
      <w:divsChild>
        <w:div w:id="1345283510">
          <w:marLeft w:val="0"/>
          <w:marRight w:val="0"/>
          <w:marTop w:val="0"/>
          <w:marBottom w:val="0"/>
          <w:divBdr>
            <w:top w:val="none" w:sz="0" w:space="0" w:color="auto"/>
            <w:left w:val="none" w:sz="0" w:space="0" w:color="auto"/>
            <w:bottom w:val="none" w:sz="0" w:space="0" w:color="auto"/>
            <w:right w:val="none" w:sz="0" w:space="0" w:color="auto"/>
          </w:divBdr>
          <w:divsChild>
            <w:div w:id="449054262">
              <w:marLeft w:val="0"/>
              <w:marRight w:val="0"/>
              <w:marTop w:val="0"/>
              <w:marBottom w:val="0"/>
              <w:divBdr>
                <w:top w:val="none" w:sz="0" w:space="0" w:color="auto"/>
                <w:left w:val="none" w:sz="0" w:space="0" w:color="auto"/>
                <w:bottom w:val="none" w:sz="0" w:space="0" w:color="auto"/>
                <w:right w:val="none" w:sz="0" w:space="0" w:color="auto"/>
              </w:divBdr>
              <w:divsChild>
                <w:div w:id="494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29925">
      <w:bodyDiv w:val="1"/>
      <w:marLeft w:val="0"/>
      <w:marRight w:val="0"/>
      <w:marTop w:val="0"/>
      <w:marBottom w:val="0"/>
      <w:divBdr>
        <w:top w:val="none" w:sz="0" w:space="0" w:color="auto"/>
        <w:left w:val="none" w:sz="0" w:space="0" w:color="auto"/>
        <w:bottom w:val="none" w:sz="0" w:space="0" w:color="auto"/>
        <w:right w:val="none" w:sz="0" w:space="0" w:color="auto"/>
      </w:divBdr>
    </w:div>
    <w:div w:id="583687123">
      <w:bodyDiv w:val="1"/>
      <w:marLeft w:val="0"/>
      <w:marRight w:val="0"/>
      <w:marTop w:val="0"/>
      <w:marBottom w:val="0"/>
      <w:divBdr>
        <w:top w:val="none" w:sz="0" w:space="0" w:color="auto"/>
        <w:left w:val="none" w:sz="0" w:space="0" w:color="auto"/>
        <w:bottom w:val="none" w:sz="0" w:space="0" w:color="auto"/>
        <w:right w:val="none" w:sz="0" w:space="0" w:color="auto"/>
      </w:divBdr>
      <w:divsChild>
        <w:div w:id="1880703985">
          <w:marLeft w:val="0"/>
          <w:marRight w:val="0"/>
          <w:marTop w:val="0"/>
          <w:marBottom w:val="0"/>
          <w:divBdr>
            <w:top w:val="none" w:sz="0" w:space="0" w:color="auto"/>
            <w:left w:val="none" w:sz="0" w:space="0" w:color="auto"/>
            <w:bottom w:val="none" w:sz="0" w:space="0" w:color="auto"/>
            <w:right w:val="none" w:sz="0" w:space="0" w:color="auto"/>
          </w:divBdr>
          <w:divsChild>
            <w:div w:id="883712623">
              <w:marLeft w:val="0"/>
              <w:marRight w:val="0"/>
              <w:marTop w:val="0"/>
              <w:marBottom w:val="0"/>
              <w:divBdr>
                <w:top w:val="none" w:sz="0" w:space="0" w:color="auto"/>
                <w:left w:val="none" w:sz="0" w:space="0" w:color="auto"/>
                <w:bottom w:val="none" w:sz="0" w:space="0" w:color="auto"/>
                <w:right w:val="none" w:sz="0" w:space="0" w:color="auto"/>
              </w:divBdr>
              <w:divsChild>
                <w:div w:id="267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119">
      <w:bodyDiv w:val="1"/>
      <w:marLeft w:val="0"/>
      <w:marRight w:val="0"/>
      <w:marTop w:val="0"/>
      <w:marBottom w:val="0"/>
      <w:divBdr>
        <w:top w:val="none" w:sz="0" w:space="0" w:color="auto"/>
        <w:left w:val="none" w:sz="0" w:space="0" w:color="auto"/>
        <w:bottom w:val="none" w:sz="0" w:space="0" w:color="auto"/>
        <w:right w:val="none" w:sz="0" w:space="0" w:color="auto"/>
      </w:divBdr>
    </w:div>
    <w:div w:id="609123142">
      <w:bodyDiv w:val="1"/>
      <w:marLeft w:val="0"/>
      <w:marRight w:val="0"/>
      <w:marTop w:val="0"/>
      <w:marBottom w:val="0"/>
      <w:divBdr>
        <w:top w:val="none" w:sz="0" w:space="0" w:color="auto"/>
        <w:left w:val="none" w:sz="0" w:space="0" w:color="auto"/>
        <w:bottom w:val="none" w:sz="0" w:space="0" w:color="auto"/>
        <w:right w:val="none" w:sz="0" w:space="0" w:color="auto"/>
      </w:divBdr>
    </w:div>
    <w:div w:id="617490522">
      <w:bodyDiv w:val="1"/>
      <w:marLeft w:val="0"/>
      <w:marRight w:val="0"/>
      <w:marTop w:val="0"/>
      <w:marBottom w:val="0"/>
      <w:divBdr>
        <w:top w:val="none" w:sz="0" w:space="0" w:color="auto"/>
        <w:left w:val="none" w:sz="0" w:space="0" w:color="auto"/>
        <w:bottom w:val="none" w:sz="0" w:space="0" w:color="auto"/>
        <w:right w:val="none" w:sz="0" w:space="0" w:color="auto"/>
      </w:divBdr>
    </w:div>
    <w:div w:id="642200249">
      <w:bodyDiv w:val="1"/>
      <w:marLeft w:val="0"/>
      <w:marRight w:val="0"/>
      <w:marTop w:val="0"/>
      <w:marBottom w:val="0"/>
      <w:divBdr>
        <w:top w:val="none" w:sz="0" w:space="0" w:color="auto"/>
        <w:left w:val="none" w:sz="0" w:space="0" w:color="auto"/>
        <w:bottom w:val="none" w:sz="0" w:space="0" w:color="auto"/>
        <w:right w:val="none" w:sz="0" w:space="0" w:color="auto"/>
      </w:divBdr>
      <w:divsChild>
        <w:div w:id="1940675444">
          <w:marLeft w:val="0"/>
          <w:marRight w:val="0"/>
          <w:marTop w:val="0"/>
          <w:marBottom w:val="0"/>
          <w:divBdr>
            <w:top w:val="none" w:sz="0" w:space="0" w:color="auto"/>
            <w:left w:val="none" w:sz="0" w:space="0" w:color="auto"/>
            <w:bottom w:val="none" w:sz="0" w:space="0" w:color="auto"/>
            <w:right w:val="none" w:sz="0" w:space="0" w:color="auto"/>
          </w:divBdr>
        </w:div>
        <w:div w:id="432097497">
          <w:marLeft w:val="0"/>
          <w:marRight w:val="0"/>
          <w:marTop w:val="0"/>
          <w:marBottom w:val="0"/>
          <w:divBdr>
            <w:top w:val="none" w:sz="0" w:space="0" w:color="auto"/>
            <w:left w:val="none" w:sz="0" w:space="0" w:color="auto"/>
            <w:bottom w:val="none" w:sz="0" w:space="0" w:color="auto"/>
            <w:right w:val="none" w:sz="0" w:space="0" w:color="auto"/>
          </w:divBdr>
        </w:div>
        <w:div w:id="293752373">
          <w:marLeft w:val="0"/>
          <w:marRight w:val="0"/>
          <w:marTop w:val="0"/>
          <w:marBottom w:val="0"/>
          <w:divBdr>
            <w:top w:val="none" w:sz="0" w:space="0" w:color="auto"/>
            <w:left w:val="none" w:sz="0" w:space="0" w:color="auto"/>
            <w:bottom w:val="none" w:sz="0" w:space="0" w:color="auto"/>
            <w:right w:val="none" w:sz="0" w:space="0" w:color="auto"/>
          </w:divBdr>
        </w:div>
        <w:div w:id="1819685622">
          <w:marLeft w:val="0"/>
          <w:marRight w:val="0"/>
          <w:marTop w:val="0"/>
          <w:marBottom w:val="0"/>
          <w:divBdr>
            <w:top w:val="none" w:sz="0" w:space="0" w:color="auto"/>
            <w:left w:val="none" w:sz="0" w:space="0" w:color="auto"/>
            <w:bottom w:val="none" w:sz="0" w:space="0" w:color="auto"/>
            <w:right w:val="none" w:sz="0" w:space="0" w:color="auto"/>
          </w:divBdr>
        </w:div>
      </w:divsChild>
    </w:div>
    <w:div w:id="644512091">
      <w:bodyDiv w:val="1"/>
      <w:marLeft w:val="0"/>
      <w:marRight w:val="0"/>
      <w:marTop w:val="0"/>
      <w:marBottom w:val="0"/>
      <w:divBdr>
        <w:top w:val="none" w:sz="0" w:space="0" w:color="auto"/>
        <w:left w:val="none" w:sz="0" w:space="0" w:color="auto"/>
        <w:bottom w:val="none" w:sz="0" w:space="0" w:color="auto"/>
        <w:right w:val="none" w:sz="0" w:space="0" w:color="auto"/>
      </w:divBdr>
    </w:div>
    <w:div w:id="679046348">
      <w:bodyDiv w:val="1"/>
      <w:marLeft w:val="0"/>
      <w:marRight w:val="0"/>
      <w:marTop w:val="0"/>
      <w:marBottom w:val="0"/>
      <w:divBdr>
        <w:top w:val="none" w:sz="0" w:space="0" w:color="auto"/>
        <w:left w:val="none" w:sz="0" w:space="0" w:color="auto"/>
        <w:bottom w:val="none" w:sz="0" w:space="0" w:color="auto"/>
        <w:right w:val="none" w:sz="0" w:space="0" w:color="auto"/>
      </w:divBdr>
    </w:div>
    <w:div w:id="698243161">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746340532">
      <w:bodyDiv w:val="1"/>
      <w:marLeft w:val="0"/>
      <w:marRight w:val="0"/>
      <w:marTop w:val="0"/>
      <w:marBottom w:val="0"/>
      <w:divBdr>
        <w:top w:val="none" w:sz="0" w:space="0" w:color="auto"/>
        <w:left w:val="none" w:sz="0" w:space="0" w:color="auto"/>
        <w:bottom w:val="none" w:sz="0" w:space="0" w:color="auto"/>
        <w:right w:val="none" w:sz="0" w:space="0" w:color="auto"/>
      </w:divBdr>
    </w:div>
    <w:div w:id="792947482">
      <w:bodyDiv w:val="1"/>
      <w:marLeft w:val="0"/>
      <w:marRight w:val="0"/>
      <w:marTop w:val="0"/>
      <w:marBottom w:val="0"/>
      <w:divBdr>
        <w:top w:val="none" w:sz="0" w:space="0" w:color="auto"/>
        <w:left w:val="none" w:sz="0" w:space="0" w:color="auto"/>
        <w:bottom w:val="none" w:sz="0" w:space="0" w:color="auto"/>
        <w:right w:val="none" w:sz="0" w:space="0" w:color="auto"/>
      </w:divBdr>
    </w:div>
    <w:div w:id="807237632">
      <w:bodyDiv w:val="1"/>
      <w:marLeft w:val="0"/>
      <w:marRight w:val="0"/>
      <w:marTop w:val="0"/>
      <w:marBottom w:val="0"/>
      <w:divBdr>
        <w:top w:val="none" w:sz="0" w:space="0" w:color="auto"/>
        <w:left w:val="none" w:sz="0" w:space="0" w:color="auto"/>
        <w:bottom w:val="none" w:sz="0" w:space="0" w:color="auto"/>
        <w:right w:val="none" w:sz="0" w:space="0" w:color="auto"/>
      </w:divBdr>
    </w:div>
    <w:div w:id="837306513">
      <w:bodyDiv w:val="1"/>
      <w:marLeft w:val="0"/>
      <w:marRight w:val="0"/>
      <w:marTop w:val="0"/>
      <w:marBottom w:val="0"/>
      <w:divBdr>
        <w:top w:val="none" w:sz="0" w:space="0" w:color="auto"/>
        <w:left w:val="none" w:sz="0" w:space="0" w:color="auto"/>
        <w:bottom w:val="none" w:sz="0" w:space="0" w:color="auto"/>
        <w:right w:val="none" w:sz="0" w:space="0" w:color="auto"/>
      </w:divBdr>
      <w:divsChild>
        <w:div w:id="393284049">
          <w:marLeft w:val="0"/>
          <w:marRight w:val="0"/>
          <w:marTop w:val="0"/>
          <w:marBottom w:val="0"/>
          <w:divBdr>
            <w:top w:val="none" w:sz="0" w:space="0" w:color="auto"/>
            <w:left w:val="none" w:sz="0" w:space="0" w:color="auto"/>
            <w:bottom w:val="none" w:sz="0" w:space="0" w:color="auto"/>
            <w:right w:val="none" w:sz="0" w:space="0" w:color="auto"/>
          </w:divBdr>
          <w:divsChild>
            <w:div w:id="91702881">
              <w:marLeft w:val="0"/>
              <w:marRight w:val="0"/>
              <w:marTop w:val="0"/>
              <w:marBottom w:val="0"/>
              <w:divBdr>
                <w:top w:val="none" w:sz="0" w:space="0" w:color="auto"/>
                <w:left w:val="none" w:sz="0" w:space="0" w:color="auto"/>
                <w:bottom w:val="none" w:sz="0" w:space="0" w:color="auto"/>
                <w:right w:val="none" w:sz="0" w:space="0" w:color="auto"/>
              </w:divBdr>
              <w:divsChild>
                <w:div w:id="1822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841">
      <w:bodyDiv w:val="1"/>
      <w:marLeft w:val="0"/>
      <w:marRight w:val="0"/>
      <w:marTop w:val="0"/>
      <w:marBottom w:val="0"/>
      <w:divBdr>
        <w:top w:val="none" w:sz="0" w:space="0" w:color="auto"/>
        <w:left w:val="none" w:sz="0" w:space="0" w:color="auto"/>
        <w:bottom w:val="none" w:sz="0" w:space="0" w:color="auto"/>
        <w:right w:val="none" w:sz="0" w:space="0" w:color="auto"/>
      </w:divBdr>
    </w:div>
    <w:div w:id="898243920">
      <w:bodyDiv w:val="1"/>
      <w:marLeft w:val="0"/>
      <w:marRight w:val="0"/>
      <w:marTop w:val="0"/>
      <w:marBottom w:val="0"/>
      <w:divBdr>
        <w:top w:val="none" w:sz="0" w:space="0" w:color="auto"/>
        <w:left w:val="none" w:sz="0" w:space="0" w:color="auto"/>
        <w:bottom w:val="none" w:sz="0" w:space="0" w:color="auto"/>
        <w:right w:val="none" w:sz="0" w:space="0" w:color="auto"/>
      </w:divBdr>
    </w:div>
    <w:div w:id="933896936">
      <w:bodyDiv w:val="1"/>
      <w:marLeft w:val="0"/>
      <w:marRight w:val="0"/>
      <w:marTop w:val="0"/>
      <w:marBottom w:val="0"/>
      <w:divBdr>
        <w:top w:val="none" w:sz="0" w:space="0" w:color="auto"/>
        <w:left w:val="none" w:sz="0" w:space="0" w:color="auto"/>
        <w:bottom w:val="none" w:sz="0" w:space="0" w:color="auto"/>
        <w:right w:val="none" w:sz="0" w:space="0" w:color="auto"/>
      </w:divBdr>
    </w:div>
    <w:div w:id="949774694">
      <w:bodyDiv w:val="1"/>
      <w:marLeft w:val="0"/>
      <w:marRight w:val="0"/>
      <w:marTop w:val="0"/>
      <w:marBottom w:val="0"/>
      <w:divBdr>
        <w:top w:val="none" w:sz="0" w:space="0" w:color="auto"/>
        <w:left w:val="none" w:sz="0" w:space="0" w:color="auto"/>
        <w:bottom w:val="none" w:sz="0" w:space="0" w:color="auto"/>
        <w:right w:val="none" w:sz="0" w:space="0" w:color="auto"/>
      </w:divBdr>
    </w:div>
    <w:div w:id="966358311">
      <w:bodyDiv w:val="1"/>
      <w:marLeft w:val="0"/>
      <w:marRight w:val="0"/>
      <w:marTop w:val="0"/>
      <w:marBottom w:val="0"/>
      <w:divBdr>
        <w:top w:val="none" w:sz="0" w:space="0" w:color="auto"/>
        <w:left w:val="none" w:sz="0" w:space="0" w:color="auto"/>
        <w:bottom w:val="none" w:sz="0" w:space="0" w:color="auto"/>
        <w:right w:val="none" w:sz="0" w:space="0" w:color="auto"/>
      </w:divBdr>
    </w:div>
    <w:div w:id="975840752">
      <w:bodyDiv w:val="1"/>
      <w:marLeft w:val="0"/>
      <w:marRight w:val="0"/>
      <w:marTop w:val="0"/>
      <w:marBottom w:val="0"/>
      <w:divBdr>
        <w:top w:val="none" w:sz="0" w:space="0" w:color="auto"/>
        <w:left w:val="none" w:sz="0" w:space="0" w:color="auto"/>
        <w:bottom w:val="none" w:sz="0" w:space="0" w:color="auto"/>
        <w:right w:val="none" w:sz="0" w:space="0" w:color="auto"/>
      </w:divBdr>
    </w:div>
    <w:div w:id="982468589">
      <w:bodyDiv w:val="1"/>
      <w:marLeft w:val="0"/>
      <w:marRight w:val="0"/>
      <w:marTop w:val="0"/>
      <w:marBottom w:val="0"/>
      <w:divBdr>
        <w:top w:val="none" w:sz="0" w:space="0" w:color="auto"/>
        <w:left w:val="none" w:sz="0" w:space="0" w:color="auto"/>
        <w:bottom w:val="none" w:sz="0" w:space="0" w:color="auto"/>
        <w:right w:val="none" w:sz="0" w:space="0" w:color="auto"/>
      </w:divBdr>
    </w:div>
    <w:div w:id="990795902">
      <w:bodyDiv w:val="1"/>
      <w:marLeft w:val="0"/>
      <w:marRight w:val="0"/>
      <w:marTop w:val="0"/>
      <w:marBottom w:val="0"/>
      <w:divBdr>
        <w:top w:val="none" w:sz="0" w:space="0" w:color="auto"/>
        <w:left w:val="none" w:sz="0" w:space="0" w:color="auto"/>
        <w:bottom w:val="none" w:sz="0" w:space="0" w:color="auto"/>
        <w:right w:val="none" w:sz="0" w:space="0" w:color="auto"/>
      </w:divBdr>
    </w:div>
    <w:div w:id="1014114269">
      <w:bodyDiv w:val="1"/>
      <w:marLeft w:val="0"/>
      <w:marRight w:val="0"/>
      <w:marTop w:val="0"/>
      <w:marBottom w:val="0"/>
      <w:divBdr>
        <w:top w:val="none" w:sz="0" w:space="0" w:color="auto"/>
        <w:left w:val="none" w:sz="0" w:space="0" w:color="auto"/>
        <w:bottom w:val="none" w:sz="0" w:space="0" w:color="auto"/>
        <w:right w:val="none" w:sz="0" w:space="0" w:color="auto"/>
      </w:divBdr>
      <w:divsChild>
        <w:div w:id="820468520">
          <w:marLeft w:val="0"/>
          <w:marRight w:val="0"/>
          <w:marTop w:val="0"/>
          <w:marBottom w:val="0"/>
          <w:divBdr>
            <w:top w:val="none" w:sz="0" w:space="0" w:color="auto"/>
            <w:left w:val="none" w:sz="0" w:space="0" w:color="auto"/>
            <w:bottom w:val="none" w:sz="0" w:space="0" w:color="auto"/>
            <w:right w:val="none" w:sz="0" w:space="0" w:color="auto"/>
          </w:divBdr>
          <w:divsChild>
            <w:div w:id="571282114">
              <w:marLeft w:val="0"/>
              <w:marRight w:val="0"/>
              <w:marTop w:val="0"/>
              <w:marBottom w:val="0"/>
              <w:divBdr>
                <w:top w:val="none" w:sz="0" w:space="0" w:color="auto"/>
                <w:left w:val="none" w:sz="0" w:space="0" w:color="auto"/>
                <w:bottom w:val="none" w:sz="0" w:space="0" w:color="auto"/>
                <w:right w:val="none" w:sz="0" w:space="0" w:color="auto"/>
              </w:divBdr>
              <w:divsChild>
                <w:div w:id="11860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0130">
      <w:bodyDiv w:val="1"/>
      <w:marLeft w:val="0"/>
      <w:marRight w:val="0"/>
      <w:marTop w:val="0"/>
      <w:marBottom w:val="0"/>
      <w:divBdr>
        <w:top w:val="none" w:sz="0" w:space="0" w:color="auto"/>
        <w:left w:val="none" w:sz="0" w:space="0" w:color="auto"/>
        <w:bottom w:val="none" w:sz="0" w:space="0" w:color="auto"/>
        <w:right w:val="none" w:sz="0" w:space="0" w:color="auto"/>
      </w:divBdr>
    </w:div>
    <w:div w:id="1029650578">
      <w:bodyDiv w:val="1"/>
      <w:marLeft w:val="0"/>
      <w:marRight w:val="0"/>
      <w:marTop w:val="0"/>
      <w:marBottom w:val="0"/>
      <w:divBdr>
        <w:top w:val="none" w:sz="0" w:space="0" w:color="auto"/>
        <w:left w:val="none" w:sz="0" w:space="0" w:color="auto"/>
        <w:bottom w:val="none" w:sz="0" w:space="0" w:color="auto"/>
        <w:right w:val="none" w:sz="0" w:space="0" w:color="auto"/>
      </w:divBdr>
    </w:div>
    <w:div w:id="1065761265">
      <w:bodyDiv w:val="1"/>
      <w:marLeft w:val="0"/>
      <w:marRight w:val="0"/>
      <w:marTop w:val="0"/>
      <w:marBottom w:val="0"/>
      <w:divBdr>
        <w:top w:val="none" w:sz="0" w:space="0" w:color="auto"/>
        <w:left w:val="none" w:sz="0" w:space="0" w:color="auto"/>
        <w:bottom w:val="none" w:sz="0" w:space="0" w:color="auto"/>
        <w:right w:val="none" w:sz="0" w:space="0" w:color="auto"/>
      </w:divBdr>
      <w:divsChild>
        <w:div w:id="1576159085">
          <w:marLeft w:val="0"/>
          <w:marRight w:val="0"/>
          <w:marTop w:val="0"/>
          <w:marBottom w:val="0"/>
          <w:divBdr>
            <w:top w:val="none" w:sz="0" w:space="0" w:color="auto"/>
            <w:left w:val="none" w:sz="0" w:space="0" w:color="auto"/>
            <w:bottom w:val="none" w:sz="0" w:space="0" w:color="auto"/>
            <w:right w:val="none" w:sz="0" w:space="0" w:color="auto"/>
          </w:divBdr>
          <w:divsChild>
            <w:div w:id="1117918709">
              <w:marLeft w:val="0"/>
              <w:marRight w:val="0"/>
              <w:marTop w:val="0"/>
              <w:marBottom w:val="0"/>
              <w:divBdr>
                <w:top w:val="none" w:sz="0" w:space="0" w:color="auto"/>
                <w:left w:val="none" w:sz="0" w:space="0" w:color="auto"/>
                <w:bottom w:val="none" w:sz="0" w:space="0" w:color="auto"/>
                <w:right w:val="none" w:sz="0" w:space="0" w:color="auto"/>
              </w:divBdr>
              <w:divsChild>
                <w:div w:id="41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448">
      <w:bodyDiv w:val="1"/>
      <w:marLeft w:val="0"/>
      <w:marRight w:val="0"/>
      <w:marTop w:val="0"/>
      <w:marBottom w:val="0"/>
      <w:divBdr>
        <w:top w:val="none" w:sz="0" w:space="0" w:color="auto"/>
        <w:left w:val="none" w:sz="0" w:space="0" w:color="auto"/>
        <w:bottom w:val="none" w:sz="0" w:space="0" w:color="auto"/>
        <w:right w:val="none" w:sz="0" w:space="0" w:color="auto"/>
      </w:divBdr>
    </w:div>
    <w:div w:id="1089541396">
      <w:bodyDiv w:val="1"/>
      <w:marLeft w:val="0"/>
      <w:marRight w:val="0"/>
      <w:marTop w:val="0"/>
      <w:marBottom w:val="0"/>
      <w:divBdr>
        <w:top w:val="none" w:sz="0" w:space="0" w:color="auto"/>
        <w:left w:val="none" w:sz="0" w:space="0" w:color="auto"/>
        <w:bottom w:val="none" w:sz="0" w:space="0" w:color="auto"/>
        <w:right w:val="none" w:sz="0" w:space="0" w:color="auto"/>
      </w:divBdr>
    </w:div>
    <w:div w:id="1094201482">
      <w:bodyDiv w:val="1"/>
      <w:marLeft w:val="0"/>
      <w:marRight w:val="0"/>
      <w:marTop w:val="0"/>
      <w:marBottom w:val="0"/>
      <w:divBdr>
        <w:top w:val="none" w:sz="0" w:space="0" w:color="auto"/>
        <w:left w:val="none" w:sz="0" w:space="0" w:color="auto"/>
        <w:bottom w:val="none" w:sz="0" w:space="0" w:color="auto"/>
        <w:right w:val="none" w:sz="0" w:space="0" w:color="auto"/>
      </w:divBdr>
    </w:div>
    <w:div w:id="1104303023">
      <w:bodyDiv w:val="1"/>
      <w:marLeft w:val="0"/>
      <w:marRight w:val="0"/>
      <w:marTop w:val="0"/>
      <w:marBottom w:val="0"/>
      <w:divBdr>
        <w:top w:val="none" w:sz="0" w:space="0" w:color="auto"/>
        <w:left w:val="none" w:sz="0" w:space="0" w:color="auto"/>
        <w:bottom w:val="none" w:sz="0" w:space="0" w:color="auto"/>
        <w:right w:val="none" w:sz="0" w:space="0" w:color="auto"/>
      </w:divBdr>
    </w:div>
    <w:div w:id="1152405689">
      <w:bodyDiv w:val="1"/>
      <w:marLeft w:val="0"/>
      <w:marRight w:val="0"/>
      <w:marTop w:val="0"/>
      <w:marBottom w:val="0"/>
      <w:divBdr>
        <w:top w:val="none" w:sz="0" w:space="0" w:color="auto"/>
        <w:left w:val="none" w:sz="0" w:space="0" w:color="auto"/>
        <w:bottom w:val="none" w:sz="0" w:space="0" w:color="auto"/>
        <w:right w:val="none" w:sz="0" w:space="0" w:color="auto"/>
      </w:divBdr>
    </w:div>
    <w:div w:id="1163203828">
      <w:bodyDiv w:val="1"/>
      <w:marLeft w:val="0"/>
      <w:marRight w:val="0"/>
      <w:marTop w:val="0"/>
      <w:marBottom w:val="0"/>
      <w:divBdr>
        <w:top w:val="none" w:sz="0" w:space="0" w:color="auto"/>
        <w:left w:val="none" w:sz="0" w:space="0" w:color="auto"/>
        <w:bottom w:val="none" w:sz="0" w:space="0" w:color="auto"/>
        <w:right w:val="none" w:sz="0" w:space="0" w:color="auto"/>
      </w:divBdr>
    </w:div>
    <w:div w:id="1179273160">
      <w:bodyDiv w:val="1"/>
      <w:marLeft w:val="0"/>
      <w:marRight w:val="0"/>
      <w:marTop w:val="0"/>
      <w:marBottom w:val="0"/>
      <w:divBdr>
        <w:top w:val="none" w:sz="0" w:space="0" w:color="auto"/>
        <w:left w:val="none" w:sz="0" w:space="0" w:color="auto"/>
        <w:bottom w:val="none" w:sz="0" w:space="0" w:color="auto"/>
        <w:right w:val="none" w:sz="0" w:space="0" w:color="auto"/>
      </w:divBdr>
    </w:div>
    <w:div w:id="1200322062">
      <w:bodyDiv w:val="1"/>
      <w:marLeft w:val="0"/>
      <w:marRight w:val="0"/>
      <w:marTop w:val="0"/>
      <w:marBottom w:val="0"/>
      <w:divBdr>
        <w:top w:val="none" w:sz="0" w:space="0" w:color="auto"/>
        <w:left w:val="none" w:sz="0" w:space="0" w:color="auto"/>
        <w:bottom w:val="none" w:sz="0" w:space="0" w:color="auto"/>
        <w:right w:val="none" w:sz="0" w:space="0" w:color="auto"/>
      </w:divBdr>
    </w:div>
    <w:div w:id="1208176337">
      <w:bodyDiv w:val="1"/>
      <w:marLeft w:val="0"/>
      <w:marRight w:val="0"/>
      <w:marTop w:val="0"/>
      <w:marBottom w:val="0"/>
      <w:divBdr>
        <w:top w:val="none" w:sz="0" w:space="0" w:color="auto"/>
        <w:left w:val="none" w:sz="0" w:space="0" w:color="auto"/>
        <w:bottom w:val="none" w:sz="0" w:space="0" w:color="auto"/>
        <w:right w:val="none" w:sz="0" w:space="0" w:color="auto"/>
      </w:divBdr>
    </w:div>
    <w:div w:id="1218853449">
      <w:bodyDiv w:val="1"/>
      <w:marLeft w:val="0"/>
      <w:marRight w:val="0"/>
      <w:marTop w:val="0"/>
      <w:marBottom w:val="0"/>
      <w:divBdr>
        <w:top w:val="none" w:sz="0" w:space="0" w:color="auto"/>
        <w:left w:val="none" w:sz="0" w:space="0" w:color="auto"/>
        <w:bottom w:val="none" w:sz="0" w:space="0" w:color="auto"/>
        <w:right w:val="none" w:sz="0" w:space="0" w:color="auto"/>
      </w:divBdr>
    </w:div>
    <w:div w:id="1224291931">
      <w:bodyDiv w:val="1"/>
      <w:marLeft w:val="0"/>
      <w:marRight w:val="0"/>
      <w:marTop w:val="0"/>
      <w:marBottom w:val="0"/>
      <w:divBdr>
        <w:top w:val="none" w:sz="0" w:space="0" w:color="auto"/>
        <w:left w:val="none" w:sz="0" w:space="0" w:color="auto"/>
        <w:bottom w:val="none" w:sz="0" w:space="0" w:color="auto"/>
        <w:right w:val="none" w:sz="0" w:space="0" w:color="auto"/>
      </w:divBdr>
    </w:div>
    <w:div w:id="1242910593">
      <w:bodyDiv w:val="1"/>
      <w:marLeft w:val="0"/>
      <w:marRight w:val="0"/>
      <w:marTop w:val="0"/>
      <w:marBottom w:val="0"/>
      <w:divBdr>
        <w:top w:val="none" w:sz="0" w:space="0" w:color="auto"/>
        <w:left w:val="none" w:sz="0" w:space="0" w:color="auto"/>
        <w:bottom w:val="none" w:sz="0" w:space="0" w:color="auto"/>
        <w:right w:val="none" w:sz="0" w:space="0" w:color="auto"/>
      </w:divBdr>
    </w:div>
    <w:div w:id="1267537589">
      <w:bodyDiv w:val="1"/>
      <w:marLeft w:val="0"/>
      <w:marRight w:val="0"/>
      <w:marTop w:val="0"/>
      <w:marBottom w:val="0"/>
      <w:divBdr>
        <w:top w:val="none" w:sz="0" w:space="0" w:color="auto"/>
        <w:left w:val="none" w:sz="0" w:space="0" w:color="auto"/>
        <w:bottom w:val="none" w:sz="0" w:space="0" w:color="auto"/>
        <w:right w:val="none" w:sz="0" w:space="0" w:color="auto"/>
      </w:divBdr>
    </w:div>
    <w:div w:id="1282802976">
      <w:bodyDiv w:val="1"/>
      <w:marLeft w:val="0"/>
      <w:marRight w:val="0"/>
      <w:marTop w:val="0"/>
      <w:marBottom w:val="0"/>
      <w:divBdr>
        <w:top w:val="none" w:sz="0" w:space="0" w:color="auto"/>
        <w:left w:val="none" w:sz="0" w:space="0" w:color="auto"/>
        <w:bottom w:val="none" w:sz="0" w:space="0" w:color="auto"/>
        <w:right w:val="none" w:sz="0" w:space="0" w:color="auto"/>
      </w:divBdr>
    </w:div>
    <w:div w:id="1314412993">
      <w:bodyDiv w:val="1"/>
      <w:marLeft w:val="0"/>
      <w:marRight w:val="0"/>
      <w:marTop w:val="0"/>
      <w:marBottom w:val="0"/>
      <w:divBdr>
        <w:top w:val="none" w:sz="0" w:space="0" w:color="auto"/>
        <w:left w:val="none" w:sz="0" w:space="0" w:color="auto"/>
        <w:bottom w:val="none" w:sz="0" w:space="0" w:color="auto"/>
        <w:right w:val="none" w:sz="0" w:space="0" w:color="auto"/>
      </w:divBdr>
    </w:div>
    <w:div w:id="1317763268">
      <w:bodyDiv w:val="1"/>
      <w:marLeft w:val="0"/>
      <w:marRight w:val="0"/>
      <w:marTop w:val="0"/>
      <w:marBottom w:val="0"/>
      <w:divBdr>
        <w:top w:val="none" w:sz="0" w:space="0" w:color="auto"/>
        <w:left w:val="none" w:sz="0" w:space="0" w:color="auto"/>
        <w:bottom w:val="none" w:sz="0" w:space="0" w:color="auto"/>
        <w:right w:val="none" w:sz="0" w:space="0" w:color="auto"/>
      </w:divBdr>
    </w:div>
    <w:div w:id="1340691175">
      <w:bodyDiv w:val="1"/>
      <w:marLeft w:val="0"/>
      <w:marRight w:val="0"/>
      <w:marTop w:val="0"/>
      <w:marBottom w:val="0"/>
      <w:divBdr>
        <w:top w:val="none" w:sz="0" w:space="0" w:color="auto"/>
        <w:left w:val="none" w:sz="0" w:space="0" w:color="auto"/>
        <w:bottom w:val="none" w:sz="0" w:space="0" w:color="auto"/>
        <w:right w:val="none" w:sz="0" w:space="0" w:color="auto"/>
      </w:divBdr>
    </w:div>
    <w:div w:id="1370030938">
      <w:bodyDiv w:val="1"/>
      <w:marLeft w:val="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99212361">
      <w:bodyDiv w:val="1"/>
      <w:marLeft w:val="0"/>
      <w:marRight w:val="0"/>
      <w:marTop w:val="0"/>
      <w:marBottom w:val="0"/>
      <w:divBdr>
        <w:top w:val="none" w:sz="0" w:space="0" w:color="auto"/>
        <w:left w:val="none" w:sz="0" w:space="0" w:color="auto"/>
        <w:bottom w:val="none" w:sz="0" w:space="0" w:color="auto"/>
        <w:right w:val="none" w:sz="0" w:space="0" w:color="auto"/>
      </w:divBdr>
    </w:div>
    <w:div w:id="1422721029">
      <w:bodyDiv w:val="1"/>
      <w:marLeft w:val="0"/>
      <w:marRight w:val="0"/>
      <w:marTop w:val="0"/>
      <w:marBottom w:val="0"/>
      <w:divBdr>
        <w:top w:val="none" w:sz="0" w:space="0" w:color="auto"/>
        <w:left w:val="none" w:sz="0" w:space="0" w:color="auto"/>
        <w:bottom w:val="none" w:sz="0" w:space="0" w:color="auto"/>
        <w:right w:val="none" w:sz="0" w:space="0" w:color="auto"/>
      </w:divBdr>
    </w:div>
    <w:div w:id="1430270362">
      <w:bodyDiv w:val="1"/>
      <w:marLeft w:val="0"/>
      <w:marRight w:val="0"/>
      <w:marTop w:val="0"/>
      <w:marBottom w:val="0"/>
      <w:divBdr>
        <w:top w:val="none" w:sz="0" w:space="0" w:color="auto"/>
        <w:left w:val="none" w:sz="0" w:space="0" w:color="auto"/>
        <w:bottom w:val="none" w:sz="0" w:space="0" w:color="auto"/>
        <w:right w:val="none" w:sz="0" w:space="0" w:color="auto"/>
      </w:divBdr>
    </w:div>
    <w:div w:id="1440757199">
      <w:bodyDiv w:val="1"/>
      <w:marLeft w:val="0"/>
      <w:marRight w:val="0"/>
      <w:marTop w:val="0"/>
      <w:marBottom w:val="0"/>
      <w:divBdr>
        <w:top w:val="none" w:sz="0" w:space="0" w:color="auto"/>
        <w:left w:val="none" w:sz="0" w:space="0" w:color="auto"/>
        <w:bottom w:val="none" w:sz="0" w:space="0" w:color="auto"/>
        <w:right w:val="none" w:sz="0" w:space="0" w:color="auto"/>
      </w:divBdr>
    </w:div>
    <w:div w:id="1460149281">
      <w:bodyDiv w:val="1"/>
      <w:marLeft w:val="0"/>
      <w:marRight w:val="0"/>
      <w:marTop w:val="0"/>
      <w:marBottom w:val="0"/>
      <w:divBdr>
        <w:top w:val="none" w:sz="0" w:space="0" w:color="auto"/>
        <w:left w:val="none" w:sz="0" w:space="0" w:color="auto"/>
        <w:bottom w:val="none" w:sz="0" w:space="0" w:color="auto"/>
        <w:right w:val="none" w:sz="0" w:space="0" w:color="auto"/>
      </w:divBdr>
    </w:div>
    <w:div w:id="1476293804">
      <w:bodyDiv w:val="1"/>
      <w:marLeft w:val="0"/>
      <w:marRight w:val="0"/>
      <w:marTop w:val="0"/>
      <w:marBottom w:val="0"/>
      <w:divBdr>
        <w:top w:val="none" w:sz="0" w:space="0" w:color="auto"/>
        <w:left w:val="none" w:sz="0" w:space="0" w:color="auto"/>
        <w:bottom w:val="none" w:sz="0" w:space="0" w:color="auto"/>
        <w:right w:val="none" w:sz="0" w:space="0" w:color="auto"/>
      </w:divBdr>
    </w:div>
    <w:div w:id="1477531811">
      <w:bodyDiv w:val="1"/>
      <w:marLeft w:val="0"/>
      <w:marRight w:val="0"/>
      <w:marTop w:val="0"/>
      <w:marBottom w:val="0"/>
      <w:divBdr>
        <w:top w:val="none" w:sz="0" w:space="0" w:color="auto"/>
        <w:left w:val="none" w:sz="0" w:space="0" w:color="auto"/>
        <w:bottom w:val="none" w:sz="0" w:space="0" w:color="auto"/>
        <w:right w:val="none" w:sz="0" w:space="0" w:color="auto"/>
      </w:divBdr>
    </w:div>
    <w:div w:id="1497499500">
      <w:bodyDiv w:val="1"/>
      <w:marLeft w:val="0"/>
      <w:marRight w:val="0"/>
      <w:marTop w:val="0"/>
      <w:marBottom w:val="0"/>
      <w:divBdr>
        <w:top w:val="none" w:sz="0" w:space="0" w:color="auto"/>
        <w:left w:val="none" w:sz="0" w:space="0" w:color="auto"/>
        <w:bottom w:val="none" w:sz="0" w:space="0" w:color="auto"/>
        <w:right w:val="none" w:sz="0" w:space="0" w:color="auto"/>
      </w:divBdr>
      <w:divsChild>
        <w:div w:id="2028628728">
          <w:marLeft w:val="0"/>
          <w:marRight w:val="0"/>
          <w:marTop w:val="0"/>
          <w:marBottom w:val="0"/>
          <w:divBdr>
            <w:top w:val="none" w:sz="0" w:space="0" w:color="auto"/>
            <w:left w:val="none" w:sz="0" w:space="0" w:color="auto"/>
            <w:bottom w:val="none" w:sz="0" w:space="0" w:color="auto"/>
            <w:right w:val="none" w:sz="0" w:space="0" w:color="auto"/>
          </w:divBdr>
          <w:divsChild>
            <w:div w:id="1479540819">
              <w:marLeft w:val="0"/>
              <w:marRight w:val="0"/>
              <w:marTop w:val="0"/>
              <w:marBottom w:val="0"/>
              <w:divBdr>
                <w:top w:val="none" w:sz="0" w:space="0" w:color="auto"/>
                <w:left w:val="none" w:sz="0" w:space="0" w:color="auto"/>
                <w:bottom w:val="none" w:sz="0" w:space="0" w:color="auto"/>
                <w:right w:val="none" w:sz="0" w:space="0" w:color="auto"/>
              </w:divBdr>
              <w:divsChild>
                <w:div w:id="3815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1572">
      <w:bodyDiv w:val="1"/>
      <w:marLeft w:val="0"/>
      <w:marRight w:val="0"/>
      <w:marTop w:val="0"/>
      <w:marBottom w:val="0"/>
      <w:divBdr>
        <w:top w:val="none" w:sz="0" w:space="0" w:color="auto"/>
        <w:left w:val="none" w:sz="0" w:space="0" w:color="auto"/>
        <w:bottom w:val="none" w:sz="0" w:space="0" w:color="auto"/>
        <w:right w:val="none" w:sz="0" w:space="0" w:color="auto"/>
      </w:divBdr>
    </w:div>
    <w:div w:id="1523587246">
      <w:bodyDiv w:val="1"/>
      <w:marLeft w:val="0"/>
      <w:marRight w:val="0"/>
      <w:marTop w:val="0"/>
      <w:marBottom w:val="0"/>
      <w:divBdr>
        <w:top w:val="none" w:sz="0" w:space="0" w:color="auto"/>
        <w:left w:val="none" w:sz="0" w:space="0" w:color="auto"/>
        <w:bottom w:val="none" w:sz="0" w:space="0" w:color="auto"/>
        <w:right w:val="none" w:sz="0" w:space="0" w:color="auto"/>
      </w:divBdr>
    </w:div>
    <w:div w:id="1572812140">
      <w:bodyDiv w:val="1"/>
      <w:marLeft w:val="0"/>
      <w:marRight w:val="0"/>
      <w:marTop w:val="0"/>
      <w:marBottom w:val="0"/>
      <w:divBdr>
        <w:top w:val="none" w:sz="0" w:space="0" w:color="auto"/>
        <w:left w:val="none" w:sz="0" w:space="0" w:color="auto"/>
        <w:bottom w:val="none" w:sz="0" w:space="0" w:color="auto"/>
        <w:right w:val="none" w:sz="0" w:space="0" w:color="auto"/>
      </w:divBdr>
    </w:div>
    <w:div w:id="1587960143">
      <w:bodyDiv w:val="1"/>
      <w:marLeft w:val="0"/>
      <w:marRight w:val="0"/>
      <w:marTop w:val="0"/>
      <w:marBottom w:val="0"/>
      <w:divBdr>
        <w:top w:val="none" w:sz="0" w:space="0" w:color="auto"/>
        <w:left w:val="none" w:sz="0" w:space="0" w:color="auto"/>
        <w:bottom w:val="none" w:sz="0" w:space="0" w:color="auto"/>
        <w:right w:val="none" w:sz="0" w:space="0" w:color="auto"/>
      </w:divBdr>
    </w:div>
    <w:div w:id="1592856119">
      <w:bodyDiv w:val="1"/>
      <w:marLeft w:val="0"/>
      <w:marRight w:val="0"/>
      <w:marTop w:val="0"/>
      <w:marBottom w:val="0"/>
      <w:divBdr>
        <w:top w:val="none" w:sz="0" w:space="0" w:color="auto"/>
        <w:left w:val="none" w:sz="0" w:space="0" w:color="auto"/>
        <w:bottom w:val="none" w:sz="0" w:space="0" w:color="auto"/>
        <w:right w:val="none" w:sz="0" w:space="0" w:color="auto"/>
      </w:divBdr>
    </w:div>
    <w:div w:id="1628661824">
      <w:bodyDiv w:val="1"/>
      <w:marLeft w:val="0"/>
      <w:marRight w:val="0"/>
      <w:marTop w:val="0"/>
      <w:marBottom w:val="0"/>
      <w:divBdr>
        <w:top w:val="none" w:sz="0" w:space="0" w:color="auto"/>
        <w:left w:val="none" w:sz="0" w:space="0" w:color="auto"/>
        <w:bottom w:val="none" w:sz="0" w:space="0" w:color="auto"/>
        <w:right w:val="none" w:sz="0" w:space="0" w:color="auto"/>
      </w:divBdr>
      <w:divsChild>
        <w:div w:id="1948922065">
          <w:marLeft w:val="0"/>
          <w:marRight w:val="0"/>
          <w:marTop w:val="0"/>
          <w:marBottom w:val="0"/>
          <w:divBdr>
            <w:top w:val="none" w:sz="0" w:space="0" w:color="auto"/>
            <w:left w:val="none" w:sz="0" w:space="0" w:color="auto"/>
            <w:bottom w:val="none" w:sz="0" w:space="0" w:color="auto"/>
            <w:right w:val="none" w:sz="0" w:space="0" w:color="auto"/>
          </w:divBdr>
          <w:divsChild>
            <w:div w:id="1864785863">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5353">
      <w:bodyDiv w:val="1"/>
      <w:marLeft w:val="0"/>
      <w:marRight w:val="0"/>
      <w:marTop w:val="0"/>
      <w:marBottom w:val="0"/>
      <w:divBdr>
        <w:top w:val="none" w:sz="0" w:space="0" w:color="auto"/>
        <w:left w:val="none" w:sz="0" w:space="0" w:color="auto"/>
        <w:bottom w:val="none" w:sz="0" w:space="0" w:color="auto"/>
        <w:right w:val="none" w:sz="0" w:space="0" w:color="auto"/>
      </w:divBdr>
    </w:div>
    <w:div w:id="1682273280">
      <w:bodyDiv w:val="1"/>
      <w:marLeft w:val="0"/>
      <w:marRight w:val="0"/>
      <w:marTop w:val="0"/>
      <w:marBottom w:val="0"/>
      <w:divBdr>
        <w:top w:val="none" w:sz="0" w:space="0" w:color="auto"/>
        <w:left w:val="none" w:sz="0" w:space="0" w:color="auto"/>
        <w:bottom w:val="none" w:sz="0" w:space="0" w:color="auto"/>
        <w:right w:val="none" w:sz="0" w:space="0" w:color="auto"/>
      </w:divBdr>
    </w:div>
    <w:div w:id="1696274352">
      <w:bodyDiv w:val="1"/>
      <w:marLeft w:val="0"/>
      <w:marRight w:val="0"/>
      <w:marTop w:val="0"/>
      <w:marBottom w:val="0"/>
      <w:divBdr>
        <w:top w:val="none" w:sz="0" w:space="0" w:color="auto"/>
        <w:left w:val="none" w:sz="0" w:space="0" w:color="auto"/>
        <w:bottom w:val="none" w:sz="0" w:space="0" w:color="auto"/>
        <w:right w:val="none" w:sz="0" w:space="0" w:color="auto"/>
      </w:divBdr>
    </w:div>
    <w:div w:id="1714386037">
      <w:bodyDiv w:val="1"/>
      <w:marLeft w:val="0"/>
      <w:marRight w:val="0"/>
      <w:marTop w:val="0"/>
      <w:marBottom w:val="0"/>
      <w:divBdr>
        <w:top w:val="none" w:sz="0" w:space="0" w:color="auto"/>
        <w:left w:val="none" w:sz="0" w:space="0" w:color="auto"/>
        <w:bottom w:val="none" w:sz="0" w:space="0" w:color="auto"/>
        <w:right w:val="none" w:sz="0" w:space="0" w:color="auto"/>
      </w:divBdr>
    </w:div>
    <w:div w:id="1735817210">
      <w:bodyDiv w:val="1"/>
      <w:marLeft w:val="0"/>
      <w:marRight w:val="0"/>
      <w:marTop w:val="0"/>
      <w:marBottom w:val="0"/>
      <w:divBdr>
        <w:top w:val="none" w:sz="0" w:space="0" w:color="auto"/>
        <w:left w:val="none" w:sz="0" w:space="0" w:color="auto"/>
        <w:bottom w:val="none" w:sz="0" w:space="0" w:color="auto"/>
        <w:right w:val="none" w:sz="0" w:space="0" w:color="auto"/>
      </w:divBdr>
    </w:div>
    <w:div w:id="1737582662">
      <w:bodyDiv w:val="1"/>
      <w:marLeft w:val="0"/>
      <w:marRight w:val="0"/>
      <w:marTop w:val="0"/>
      <w:marBottom w:val="0"/>
      <w:divBdr>
        <w:top w:val="none" w:sz="0" w:space="0" w:color="auto"/>
        <w:left w:val="none" w:sz="0" w:space="0" w:color="auto"/>
        <w:bottom w:val="none" w:sz="0" w:space="0" w:color="auto"/>
        <w:right w:val="none" w:sz="0" w:space="0" w:color="auto"/>
      </w:divBdr>
    </w:div>
    <w:div w:id="1746492220">
      <w:bodyDiv w:val="1"/>
      <w:marLeft w:val="0"/>
      <w:marRight w:val="0"/>
      <w:marTop w:val="0"/>
      <w:marBottom w:val="0"/>
      <w:divBdr>
        <w:top w:val="none" w:sz="0" w:space="0" w:color="auto"/>
        <w:left w:val="none" w:sz="0" w:space="0" w:color="auto"/>
        <w:bottom w:val="none" w:sz="0" w:space="0" w:color="auto"/>
        <w:right w:val="none" w:sz="0" w:space="0" w:color="auto"/>
      </w:divBdr>
    </w:div>
    <w:div w:id="1750535979">
      <w:bodyDiv w:val="1"/>
      <w:marLeft w:val="0"/>
      <w:marRight w:val="0"/>
      <w:marTop w:val="0"/>
      <w:marBottom w:val="0"/>
      <w:divBdr>
        <w:top w:val="none" w:sz="0" w:space="0" w:color="auto"/>
        <w:left w:val="none" w:sz="0" w:space="0" w:color="auto"/>
        <w:bottom w:val="none" w:sz="0" w:space="0" w:color="auto"/>
        <w:right w:val="none" w:sz="0" w:space="0" w:color="auto"/>
      </w:divBdr>
    </w:div>
    <w:div w:id="1752461163">
      <w:bodyDiv w:val="1"/>
      <w:marLeft w:val="0"/>
      <w:marRight w:val="0"/>
      <w:marTop w:val="0"/>
      <w:marBottom w:val="0"/>
      <w:divBdr>
        <w:top w:val="none" w:sz="0" w:space="0" w:color="auto"/>
        <w:left w:val="none" w:sz="0" w:space="0" w:color="auto"/>
        <w:bottom w:val="none" w:sz="0" w:space="0" w:color="auto"/>
        <w:right w:val="none" w:sz="0" w:space="0" w:color="auto"/>
      </w:divBdr>
    </w:div>
    <w:div w:id="1755086312">
      <w:bodyDiv w:val="1"/>
      <w:marLeft w:val="0"/>
      <w:marRight w:val="0"/>
      <w:marTop w:val="0"/>
      <w:marBottom w:val="0"/>
      <w:divBdr>
        <w:top w:val="none" w:sz="0" w:space="0" w:color="auto"/>
        <w:left w:val="none" w:sz="0" w:space="0" w:color="auto"/>
        <w:bottom w:val="none" w:sz="0" w:space="0" w:color="auto"/>
        <w:right w:val="none" w:sz="0" w:space="0" w:color="auto"/>
      </w:divBdr>
    </w:div>
    <w:div w:id="1764495146">
      <w:bodyDiv w:val="1"/>
      <w:marLeft w:val="0"/>
      <w:marRight w:val="0"/>
      <w:marTop w:val="0"/>
      <w:marBottom w:val="0"/>
      <w:divBdr>
        <w:top w:val="none" w:sz="0" w:space="0" w:color="auto"/>
        <w:left w:val="none" w:sz="0" w:space="0" w:color="auto"/>
        <w:bottom w:val="none" w:sz="0" w:space="0" w:color="auto"/>
        <w:right w:val="none" w:sz="0" w:space="0" w:color="auto"/>
      </w:divBdr>
    </w:div>
    <w:div w:id="1766881872">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791821106">
      <w:bodyDiv w:val="1"/>
      <w:marLeft w:val="0"/>
      <w:marRight w:val="0"/>
      <w:marTop w:val="0"/>
      <w:marBottom w:val="0"/>
      <w:divBdr>
        <w:top w:val="none" w:sz="0" w:space="0" w:color="auto"/>
        <w:left w:val="none" w:sz="0" w:space="0" w:color="auto"/>
        <w:bottom w:val="none" w:sz="0" w:space="0" w:color="auto"/>
        <w:right w:val="none" w:sz="0" w:space="0" w:color="auto"/>
      </w:divBdr>
    </w:div>
    <w:div w:id="1804035340">
      <w:bodyDiv w:val="1"/>
      <w:marLeft w:val="0"/>
      <w:marRight w:val="0"/>
      <w:marTop w:val="0"/>
      <w:marBottom w:val="0"/>
      <w:divBdr>
        <w:top w:val="none" w:sz="0" w:space="0" w:color="auto"/>
        <w:left w:val="none" w:sz="0" w:space="0" w:color="auto"/>
        <w:bottom w:val="none" w:sz="0" w:space="0" w:color="auto"/>
        <w:right w:val="none" w:sz="0" w:space="0" w:color="auto"/>
      </w:divBdr>
    </w:div>
    <w:div w:id="1821337136">
      <w:bodyDiv w:val="1"/>
      <w:marLeft w:val="0"/>
      <w:marRight w:val="0"/>
      <w:marTop w:val="0"/>
      <w:marBottom w:val="0"/>
      <w:divBdr>
        <w:top w:val="none" w:sz="0" w:space="0" w:color="auto"/>
        <w:left w:val="none" w:sz="0" w:space="0" w:color="auto"/>
        <w:bottom w:val="none" w:sz="0" w:space="0" w:color="auto"/>
        <w:right w:val="none" w:sz="0" w:space="0" w:color="auto"/>
      </w:divBdr>
    </w:div>
    <w:div w:id="1830290698">
      <w:bodyDiv w:val="1"/>
      <w:marLeft w:val="0"/>
      <w:marRight w:val="0"/>
      <w:marTop w:val="0"/>
      <w:marBottom w:val="0"/>
      <w:divBdr>
        <w:top w:val="none" w:sz="0" w:space="0" w:color="auto"/>
        <w:left w:val="none" w:sz="0" w:space="0" w:color="auto"/>
        <w:bottom w:val="none" w:sz="0" w:space="0" w:color="auto"/>
        <w:right w:val="none" w:sz="0" w:space="0" w:color="auto"/>
      </w:divBdr>
    </w:div>
    <w:div w:id="1843351450">
      <w:bodyDiv w:val="1"/>
      <w:marLeft w:val="0"/>
      <w:marRight w:val="0"/>
      <w:marTop w:val="0"/>
      <w:marBottom w:val="0"/>
      <w:divBdr>
        <w:top w:val="none" w:sz="0" w:space="0" w:color="auto"/>
        <w:left w:val="none" w:sz="0" w:space="0" w:color="auto"/>
        <w:bottom w:val="none" w:sz="0" w:space="0" w:color="auto"/>
        <w:right w:val="none" w:sz="0" w:space="0" w:color="auto"/>
      </w:divBdr>
    </w:div>
    <w:div w:id="1854416416">
      <w:bodyDiv w:val="1"/>
      <w:marLeft w:val="0"/>
      <w:marRight w:val="0"/>
      <w:marTop w:val="0"/>
      <w:marBottom w:val="0"/>
      <w:divBdr>
        <w:top w:val="none" w:sz="0" w:space="0" w:color="auto"/>
        <w:left w:val="none" w:sz="0" w:space="0" w:color="auto"/>
        <w:bottom w:val="none" w:sz="0" w:space="0" w:color="auto"/>
        <w:right w:val="none" w:sz="0" w:space="0" w:color="auto"/>
      </w:divBdr>
    </w:div>
    <w:div w:id="1887180542">
      <w:bodyDiv w:val="1"/>
      <w:marLeft w:val="0"/>
      <w:marRight w:val="0"/>
      <w:marTop w:val="0"/>
      <w:marBottom w:val="0"/>
      <w:divBdr>
        <w:top w:val="none" w:sz="0" w:space="0" w:color="auto"/>
        <w:left w:val="none" w:sz="0" w:space="0" w:color="auto"/>
        <w:bottom w:val="none" w:sz="0" w:space="0" w:color="auto"/>
        <w:right w:val="none" w:sz="0" w:space="0" w:color="auto"/>
      </w:divBdr>
    </w:div>
    <w:div w:id="1888030710">
      <w:bodyDiv w:val="1"/>
      <w:marLeft w:val="0"/>
      <w:marRight w:val="0"/>
      <w:marTop w:val="0"/>
      <w:marBottom w:val="0"/>
      <w:divBdr>
        <w:top w:val="none" w:sz="0" w:space="0" w:color="auto"/>
        <w:left w:val="none" w:sz="0" w:space="0" w:color="auto"/>
        <w:bottom w:val="none" w:sz="0" w:space="0" w:color="auto"/>
        <w:right w:val="none" w:sz="0" w:space="0" w:color="auto"/>
      </w:divBdr>
    </w:div>
    <w:div w:id="1889603435">
      <w:bodyDiv w:val="1"/>
      <w:marLeft w:val="0"/>
      <w:marRight w:val="0"/>
      <w:marTop w:val="0"/>
      <w:marBottom w:val="0"/>
      <w:divBdr>
        <w:top w:val="none" w:sz="0" w:space="0" w:color="auto"/>
        <w:left w:val="none" w:sz="0" w:space="0" w:color="auto"/>
        <w:bottom w:val="none" w:sz="0" w:space="0" w:color="auto"/>
        <w:right w:val="none" w:sz="0" w:space="0" w:color="auto"/>
      </w:divBdr>
    </w:div>
    <w:div w:id="1895433052">
      <w:bodyDiv w:val="1"/>
      <w:marLeft w:val="0"/>
      <w:marRight w:val="0"/>
      <w:marTop w:val="0"/>
      <w:marBottom w:val="0"/>
      <w:divBdr>
        <w:top w:val="none" w:sz="0" w:space="0" w:color="auto"/>
        <w:left w:val="none" w:sz="0" w:space="0" w:color="auto"/>
        <w:bottom w:val="none" w:sz="0" w:space="0" w:color="auto"/>
        <w:right w:val="none" w:sz="0" w:space="0" w:color="auto"/>
      </w:divBdr>
    </w:div>
    <w:div w:id="1910071382">
      <w:bodyDiv w:val="1"/>
      <w:marLeft w:val="0"/>
      <w:marRight w:val="0"/>
      <w:marTop w:val="0"/>
      <w:marBottom w:val="0"/>
      <w:divBdr>
        <w:top w:val="none" w:sz="0" w:space="0" w:color="auto"/>
        <w:left w:val="none" w:sz="0" w:space="0" w:color="auto"/>
        <w:bottom w:val="none" w:sz="0" w:space="0" w:color="auto"/>
        <w:right w:val="none" w:sz="0" w:space="0" w:color="auto"/>
      </w:divBdr>
    </w:div>
    <w:div w:id="1911572785">
      <w:bodyDiv w:val="1"/>
      <w:marLeft w:val="0"/>
      <w:marRight w:val="0"/>
      <w:marTop w:val="0"/>
      <w:marBottom w:val="0"/>
      <w:divBdr>
        <w:top w:val="none" w:sz="0" w:space="0" w:color="auto"/>
        <w:left w:val="none" w:sz="0" w:space="0" w:color="auto"/>
        <w:bottom w:val="none" w:sz="0" w:space="0" w:color="auto"/>
        <w:right w:val="none" w:sz="0" w:space="0" w:color="auto"/>
      </w:divBdr>
    </w:div>
    <w:div w:id="1945989400">
      <w:bodyDiv w:val="1"/>
      <w:marLeft w:val="0"/>
      <w:marRight w:val="0"/>
      <w:marTop w:val="0"/>
      <w:marBottom w:val="0"/>
      <w:divBdr>
        <w:top w:val="none" w:sz="0" w:space="0" w:color="auto"/>
        <w:left w:val="none" w:sz="0" w:space="0" w:color="auto"/>
        <w:bottom w:val="none" w:sz="0" w:space="0" w:color="auto"/>
        <w:right w:val="none" w:sz="0" w:space="0" w:color="auto"/>
      </w:divBdr>
      <w:divsChild>
        <w:div w:id="25067518">
          <w:marLeft w:val="0"/>
          <w:marRight w:val="0"/>
          <w:marTop w:val="0"/>
          <w:marBottom w:val="0"/>
          <w:divBdr>
            <w:top w:val="none" w:sz="0" w:space="0" w:color="auto"/>
            <w:left w:val="none" w:sz="0" w:space="0" w:color="auto"/>
            <w:bottom w:val="none" w:sz="0" w:space="0" w:color="auto"/>
            <w:right w:val="none" w:sz="0" w:space="0" w:color="auto"/>
          </w:divBdr>
          <w:divsChild>
            <w:div w:id="1777215387">
              <w:marLeft w:val="0"/>
              <w:marRight w:val="0"/>
              <w:marTop w:val="0"/>
              <w:marBottom w:val="0"/>
              <w:divBdr>
                <w:top w:val="none" w:sz="0" w:space="0" w:color="auto"/>
                <w:left w:val="none" w:sz="0" w:space="0" w:color="auto"/>
                <w:bottom w:val="none" w:sz="0" w:space="0" w:color="auto"/>
                <w:right w:val="none" w:sz="0" w:space="0" w:color="auto"/>
              </w:divBdr>
              <w:divsChild>
                <w:div w:id="934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8684">
      <w:bodyDiv w:val="1"/>
      <w:marLeft w:val="0"/>
      <w:marRight w:val="0"/>
      <w:marTop w:val="0"/>
      <w:marBottom w:val="0"/>
      <w:divBdr>
        <w:top w:val="none" w:sz="0" w:space="0" w:color="auto"/>
        <w:left w:val="none" w:sz="0" w:space="0" w:color="auto"/>
        <w:bottom w:val="none" w:sz="0" w:space="0" w:color="auto"/>
        <w:right w:val="none" w:sz="0" w:space="0" w:color="auto"/>
      </w:divBdr>
    </w:div>
    <w:div w:id="1954939465">
      <w:bodyDiv w:val="1"/>
      <w:marLeft w:val="0"/>
      <w:marRight w:val="0"/>
      <w:marTop w:val="0"/>
      <w:marBottom w:val="0"/>
      <w:divBdr>
        <w:top w:val="none" w:sz="0" w:space="0" w:color="auto"/>
        <w:left w:val="none" w:sz="0" w:space="0" w:color="auto"/>
        <w:bottom w:val="none" w:sz="0" w:space="0" w:color="auto"/>
        <w:right w:val="none" w:sz="0" w:space="0" w:color="auto"/>
      </w:divBdr>
    </w:div>
    <w:div w:id="1991519401">
      <w:bodyDiv w:val="1"/>
      <w:marLeft w:val="0"/>
      <w:marRight w:val="0"/>
      <w:marTop w:val="0"/>
      <w:marBottom w:val="0"/>
      <w:divBdr>
        <w:top w:val="none" w:sz="0" w:space="0" w:color="auto"/>
        <w:left w:val="none" w:sz="0" w:space="0" w:color="auto"/>
        <w:bottom w:val="none" w:sz="0" w:space="0" w:color="auto"/>
        <w:right w:val="none" w:sz="0" w:space="0" w:color="auto"/>
      </w:divBdr>
    </w:div>
    <w:div w:id="2010332718">
      <w:bodyDiv w:val="1"/>
      <w:marLeft w:val="0"/>
      <w:marRight w:val="0"/>
      <w:marTop w:val="0"/>
      <w:marBottom w:val="0"/>
      <w:divBdr>
        <w:top w:val="none" w:sz="0" w:space="0" w:color="auto"/>
        <w:left w:val="none" w:sz="0" w:space="0" w:color="auto"/>
        <w:bottom w:val="none" w:sz="0" w:space="0" w:color="auto"/>
        <w:right w:val="none" w:sz="0" w:space="0" w:color="auto"/>
      </w:divBdr>
      <w:divsChild>
        <w:div w:id="1721518849">
          <w:marLeft w:val="0"/>
          <w:marRight w:val="0"/>
          <w:marTop w:val="0"/>
          <w:marBottom w:val="0"/>
          <w:divBdr>
            <w:top w:val="none" w:sz="0" w:space="0" w:color="auto"/>
            <w:left w:val="none" w:sz="0" w:space="0" w:color="auto"/>
            <w:bottom w:val="none" w:sz="0" w:space="0" w:color="auto"/>
            <w:right w:val="none" w:sz="0" w:space="0" w:color="auto"/>
          </w:divBdr>
          <w:divsChild>
            <w:div w:id="429085931">
              <w:marLeft w:val="0"/>
              <w:marRight w:val="0"/>
              <w:marTop w:val="0"/>
              <w:marBottom w:val="0"/>
              <w:divBdr>
                <w:top w:val="none" w:sz="0" w:space="0" w:color="auto"/>
                <w:left w:val="none" w:sz="0" w:space="0" w:color="auto"/>
                <w:bottom w:val="none" w:sz="0" w:space="0" w:color="auto"/>
                <w:right w:val="none" w:sz="0" w:space="0" w:color="auto"/>
              </w:divBdr>
              <w:divsChild>
                <w:div w:id="1108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8482092">
      <w:bodyDiv w:val="1"/>
      <w:marLeft w:val="0"/>
      <w:marRight w:val="0"/>
      <w:marTop w:val="0"/>
      <w:marBottom w:val="0"/>
      <w:divBdr>
        <w:top w:val="none" w:sz="0" w:space="0" w:color="auto"/>
        <w:left w:val="none" w:sz="0" w:space="0" w:color="auto"/>
        <w:bottom w:val="none" w:sz="0" w:space="0" w:color="auto"/>
        <w:right w:val="none" w:sz="0" w:space="0" w:color="auto"/>
      </w:divBdr>
    </w:div>
    <w:div w:id="2031754952">
      <w:bodyDiv w:val="1"/>
      <w:marLeft w:val="0"/>
      <w:marRight w:val="0"/>
      <w:marTop w:val="0"/>
      <w:marBottom w:val="0"/>
      <w:divBdr>
        <w:top w:val="none" w:sz="0" w:space="0" w:color="auto"/>
        <w:left w:val="none" w:sz="0" w:space="0" w:color="auto"/>
        <w:bottom w:val="none" w:sz="0" w:space="0" w:color="auto"/>
        <w:right w:val="none" w:sz="0" w:space="0" w:color="auto"/>
      </w:divBdr>
    </w:div>
    <w:div w:id="2066875051">
      <w:bodyDiv w:val="1"/>
      <w:marLeft w:val="0"/>
      <w:marRight w:val="0"/>
      <w:marTop w:val="0"/>
      <w:marBottom w:val="0"/>
      <w:divBdr>
        <w:top w:val="none" w:sz="0" w:space="0" w:color="auto"/>
        <w:left w:val="none" w:sz="0" w:space="0" w:color="auto"/>
        <w:bottom w:val="none" w:sz="0" w:space="0" w:color="auto"/>
        <w:right w:val="none" w:sz="0" w:space="0" w:color="auto"/>
      </w:divBdr>
    </w:div>
    <w:div w:id="20992527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890">
          <w:marLeft w:val="0"/>
          <w:marRight w:val="0"/>
          <w:marTop w:val="0"/>
          <w:marBottom w:val="0"/>
          <w:divBdr>
            <w:top w:val="none" w:sz="0" w:space="0" w:color="auto"/>
            <w:left w:val="none" w:sz="0" w:space="0" w:color="auto"/>
            <w:bottom w:val="none" w:sz="0" w:space="0" w:color="auto"/>
            <w:right w:val="none" w:sz="0" w:space="0" w:color="auto"/>
          </w:divBdr>
          <w:divsChild>
            <w:div w:id="652564949">
              <w:marLeft w:val="0"/>
              <w:marRight w:val="0"/>
              <w:marTop w:val="0"/>
              <w:marBottom w:val="0"/>
              <w:divBdr>
                <w:top w:val="none" w:sz="0" w:space="0" w:color="auto"/>
                <w:left w:val="none" w:sz="0" w:space="0" w:color="auto"/>
                <w:bottom w:val="none" w:sz="0" w:space="0" w:color="auto"/>
                <w:right w:val="none" w:sz="0" w:space="0" w:color="auto"/>
              </w:divBdr>
              <w:divsChild>
                <w:div w:id="7737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5203">
      <w:bodyDiv w:val="1"/>
      <w:marLeft w:val="0"/>
      <w:marRight w:val="0"/>
      <w:marTop w:val="0"/>
      <w:marBottom w:val="0"/>
      <w:divBdr>
        <w:top w:val="none" w:sz="0" w:space="0" w:color="auto"/>
        <w:left w:val="none" w:sz="0" w:space="0" w:color="auto"/>
        <w:bottom w:val="none" w:sz="0" w:space="0" w:color="auto"/>
        <w:right w:val="none" w:sz="0" w:space="0" w:color="auto"/>
      </w:divBdr>
    </w:div>
    <w:div w:id="2114743945">
      <w:bodyDiv w:val="1"/>
      <w:marLeft w:val="0"/>
      <w:marRight w:val="0"/>
      <w:marTop w:val="0"/>
      <w:marBottom w:val="0"/>
      <w:divBdr>
        <w:top w:val="none" w:sz="0" w:space="0" w:color="auto"/>
        <w:left w:val="none" w:sz="0" w:space="0" w:color="auto"/>
        <w:bottom w:val="none" w:sz="0" w:space="0" w:color="auto"/>
        <w:right w:val="none" w:sz="0" w:space="0" w:color="auto"/>
      </w:divBdr>
      <w:divsChild>
        <w:div w:id="1429034163">
          <w:marLeft w:val="0"/>
          <w:marRight w:val="0"/>
          <w:marTop w:val="0"/>
          <w:marBottom w:val="0"/>
          <w:divBdr>
            <w:top w:val="none" w:sz="0" w:space="0" w:color="auto"/>
            <w:left w:val="none" w:sz="0" w:space="0" w:color="auto"/>
            <w:bottom w:val="none" w:sz="0" w:space="0" w:color="auto"/>
            <w:right w:val="none" w:sz="0" w:space="0" w:color="auto"/>
          </w:divBdr>
          <w:divsChild>
            <w:div w:id="516231194">
              <w:marLeft w:val="0"/>
              <w:marRight w:val="0"/>
              <w:marTop w:val="0"/>
              <w:marBottom w:val="0"/>
              <w:divBdr>
                <w:top w:val="none" w:sz="0" w:space="0" w:color="auto"/>
                <w:left w:val="none" w:sz="0" w:space="0" w:color="auto"/>
                <w:bottom w:val="none" w:sz="0" w:space="0" w:color="auto"/>
                <w:right w:val="none" w:sz="0" w:space="0" w:color="auto"/>
              </w:divBdr>
              <w:divsChild>
                <w:div w:id="3838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1282">
      <w:bodyDiv w:val="1"/>
      <w:marLeft w:val="0"/>
      <w:marRight w:val="0"/>
      <w:marTop w:val="0"/>
      <w:marBottom w:val="0"/>
      <w:divBdr>
        <w:top w:val="none" w:sz="0" w:space="0" w:color="auto"/>
        <w:left w:val="none" w:sz="0" w:space="0" w:color="auto"/>
        <w:bottom w:val="none" w:sz="0" w:space="0" w:color="auto"/>
        <w:right w:val="none" w:sz="0" w:space="0" w:color="auto"/>
      </w:divBdr>
    </w:div>
    <w:div w:id="212638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2986/dp2025.06" TargetMode="External"/><Relationship Id="rId18" Type="http://schemas.openxmlformats.org/officeDocument/2006/relationships/hyperlink" Target="https://doi.org/10.2307/2325486" TargetMode="External"/><Relationship Id="rId26" Type="http://schemas.openxmlformats.org/officeDocument/2006/relationships/hyperlink" Target="http://www.jstor.org/stable/40472954" TargetMode="External"/><Relationship Id="rId3" Type="http://schemas.openxmlformats.org/officeDocument/2006/relationships/styles" Target="styles.xml"/><Relationship Id="rId21" Type="http://schemas.openxmlformats.org/officeDocument/2006/relationships/hyperlink" Target="https://doi.org/10.1016/B978-0-444-53265-7.50015-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016/j.econlet.2025.112647" TargetMode="External"/><Relationship Id="rId25" Type="http://schemas.openxmlformats.org/officeDocument/2006/relationships/hyperlink" Target="https://doi.org/10.2139/ssrn.5211851"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iie.com/blogs/realtime-economics/2022/four-years-trade-war-are-us-and-china-decoupling" TargetMode="External"/><Relationship Id="rId20" Type="http://schemas.openxmlformats.org/officeDocument/2006/relationships/hyperlink" Target="https://doi.org/10.1016/j.frl.2025.10845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8363-111X" TargetMode="External"/><Relationship Id="rId24" Type="http://schemas.openxmlformats.org/officeDocument/2006/relationships/hyperlink" Target="https://ssrn.com/abstract=2714844"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frl.2019.101352" TargetMode="External"/><Relationship Id="rId23" Type="http://schemas.openxmlformats.org/officeDocument/2006/relationships/hyperlink" Target="https://doi.org/10.1007/978-1-349-20213-3_13" TargetMode="External"/><Relationship Id="rId28" Type="http://schemas.openxmlformats.org/officeDocument/2006/relationships/hyperlink" Target="https://doi.org/10.1016/j.frl.2025.107381" TargetMode="External"/><Relationship Id="rId10" Type="http://schemas.openxmlformats.org/officeDocument/2006/relationships/image" Target="media/image2.jpeg"/><Relationship Id="rId19" Type="http://schemas.openxmlformats.org/officeDocument/2006/relationships/hyperlink" Target="https://doi.org/10.1016/j.frl.2025.10808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0009-0002-5341-471X" TargetMode="External"/><Relationship Id="rId14" Type="http://schemas.openxmlformats.org/officeDocument/2006/relationships/hyperlink" Target="https://doi.org/10.1016/0304-405X(80)90002-1" TargetMode="External"/><Relationship Id="rId22" Type="http://schemas.openxmlformats.org/officeDocument/2006/relationships/hyperlink" Target="http://www.jstor.org/stable/2729691" TargetMode="External"/><Relationship Id="rId27" Type="http://schemas.openxmlformats.org/officeDocument/2006/relationships/hyperlink" Target="https://doi.org/10.1016/j.frl.2025.10746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3.png"/><Relationship Id="rId1" Type="http://schemas.openxmlformats.org/officeDocument/2006/relationships/hyperlink" Target="http://creativecommons.org/licenses/by/4.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vin\OneDrive\Documents\SKRIPSI%20BARU\Data%20Tarif%20ASE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Sheet1!$B$70</c:f>
              <c:strCache>
                <c:ptCount val="1"/>
              </c:strCache>
            </c:strRef>
          </c:tx>
          <c:spPr>
            <a:solidFill>
              <a:schemeClr val="accent1"/>
            </a:solidFill>
            <a:ln>
              <a:noFill/>
            </a:ln>
            <a:effectLst/>
          </c:spPr>
          <c:invertIfNegative val="0"/>
          <c:cat>
            <c:strRef>
              <c:f>Sheet1!$A$71:$A$77</c:f>
              <c:strCache>
                <c:ptCount val="6"/>
                <c:pt idx="0">
                  <c:v>Indonesia</c:v>
                </c:pt>
                <c:pt idx="1">
                  <c:v>Malaysia</c:v>
                </c:pt>
                <c:pt idx="2">
                  <c:v>Philippine</c:v>
                </c:pt>
                <c:pt idx="3">
                  <c:v>Singapore</c:v>
                </c:pt>
                <c:pt idx="4">
                  <c:v>Thailand</c:v>
                </c:pt>
                <c:pt idx="5">
                  <c:v>Vietnam</c:v>
                </c:pt>
              </c:strCache>
            </c:strRef>
          </c:cat>
          <c:val>
            <c:numRef>
              <c:f>Sheet1!$B$71:$B$77</c:f>
              <c:numCache>
                <c:formatCode>General</c:formatCode>
                <c:ptCount val="7"/>
                <c:pt idx="0">
                  <c:v>-17893</c:v>
                </c:pt>
                <c:pt idx="1">
                  <c:v>-24853.8</c:v>
                </c:pt>
                <c:pt idx="2">
                  <c:v>-4916.3999999999996</c:v>
                </c:pt>
                <c:pt idx="3">
                  <c:v>1855.1</c:v>
                </c:pt>
                <c:pt idx="4">
                  <c:v>-45492</c:v>
                </c:pt>
                <c:pt idx="5">
                  <c:v>-123457</c:v>
                </c:pt>
              </c:numCache>
            </c:numRef>
          </c:val>
          <c:extLst>
            <c:ext xmlns:c16="http://schemas.microsoft.com/office/drawing/2014/chart" uri="{C3380CC4-5D6E-409C-BE32-E72D297353CC}">
              <c16:uniqueId val="{00000000-7C2E-4198-8878-9AF35FEE71B3}"/>
            </c:ext>
          </c:extLst>
        </c:ser>
        <c:dLbls>
          <c:showLegendKey val="0"/>
          <c:showVal val="0"/>
          <c:showCatName val="0"/>
          <c:showSerName val="0"/>
          <c:showPercent val="0"/>
          <c:showBubbleSize val="0"/>
        </c:dLbls>
        <c:gapWidth val="219"/>
        <c:overlap val="-27"/>
        <c:axId val="1609911439"/>
        <c:axId val="1609914319"/>
      </c:barChart>
      <c:catAx>
        <c:axId val="1609911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9914319"/>
        <c:crosses val="autoZero"/>
        <c:auto val="1"/>
        <c:lblAlgn val="ctr"/>
        <c:lblOffset val="100"/>
        <c:noMultiLvlLbl val="0"/>
      </c:catAx>
      <c:valAx>
        <c:axId val="1609914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99114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C8914A-D0A5-4628-9F15-F834548CE9DB}">
  <we:reference id="WA200001361" version="2.129.3.0" store="Omex" storeType="OMEX"/>
  <we:alternateReferences>
    <we:reference id="WA200001361" version="2.129.3.0" store="WA200001361" storeType="OMEX"/>
  </we:alternateReferences>
  <we:properties>
    <we:property name="paperpal-document-id" value="&quot;f19130cd-3dc2-447c-9862-235200e3ccf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11</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2</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10</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9</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6</b:RefOrder>
  </b:Source>
</b:Sources>
</file>

<file path=customXml/itemProps1.xml><?xml version="1.0" encoding="utf-8"?>
<ds:datastoreItem xmlns:ds="http://schemas.openxmlformats.org/officeDocument/2006/customXml" ds:itemID="{73902575-4A48-4462-895C-4882EC7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2646</TotalTime>
  <Pages>14</Pages>
  <Words>12474</Words>
  <Characters>71103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Indah Kartika Sandhi</dc:creator>
  <cp:lastModifiedBy>Alvin Kurniawan</cp:lastModifiedBy>
  <cp:revision>40</cp:revision>
  <cp:lastPrinted>2024-09-02T13:38:00Z</cp:lastPrinted>
  <dcterms:created xsi:type="dcterms:W3CDTF">2025-08-03T07:36:00Z</dcterms:created>
  <dcterms:modified xsi:type="dcterms:W3CDTF">2025-12-30T18:58:00Z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ffa289d5-1d57-36cf-a234-36794f2494f7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zotero-version="7.0.30"&gt;&lt;session id="pGiHqsjb"/&gt;&lt;style id="http://www.zotero.org/styles/apa" locale="en-US" hasBibliography="1" bibliographyStyleHasBeenSet="1"/&gt;&lt;prefs&gt;&lt;pref name="fieldType" value="Field"/&gt;&lt;/prefs&gt;&lt;/data&gt;</vt:lpwstr>
  </property>
</Properties>
</file>