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AAA" w:rsidRPr="00B54ECC" w:rsidRDefault="00A60AAA" w:rsidP="00A60AAA">
      <w:pPr>
        <w:spacing w:before="280"/>
        <w:ind w:firstLine="0"/>
        <w:rPr>
          <w:rFonts w:ascii="Garamond" w:hAnsi="Garamond"/>
          <w:b/>
          <w:sz w:val="22"/>
        </w:rPr>
      </w:pPr>
      <w:r w:rsidRPr="00B54ECC">
        <w:rPr>
          <w:rFonts w:ascii="Garamond" w:hAnsi="Garamond"/>
          <w:b/>
          <w:sz w:val="22"/>
        </w:rPr>
        <w:t>SWOT ANALYSIS TO ASSESS IMPLEMENTATION OF MEDICINAL PLANTS AND ITS DEVELOPMENT BASED ON THE PERCEPTIONS OF TEACHERS AND STAKEHOLDERS</w:t>
      </w:r>
    </w:p>
    <w:p w:rsidR="00A60AAA" w:rsidRPr="00B54ECC" w:rsidRDefault="00A60AAA" w:rsidP="00A60AAA">
      <w:pPr>
        <w:spacing w:before="280"/>
        <w:ind w:firstLine="0"/>
        <w:rPr>
          <w:rFonts w:ascii="Garamond" w:hAnsi="Garamond"/>
          <w:b/>
          <w:sz w:val="22"/>
        </w:rPr>
      </w:pPr>
      <w:proofErr w:type="spellStart"/>
      <w:r w:rsidRPr="00B54ECC">
        <w:rPr>
          <w:rFonts w:ascii="Garamond" w:hAnsi="Garamond"/>
          <w:b/>
          <w:sz w:val="22"/>
        </w:rPr>
        <w:t>Endang</w:t>
      </w:r>
      <w:proofErr w:type="spellEnd"/>
      <w:r w:rsidRPr="00B54ECC">
        <w:rPr>
          <w:rFonts w:ascii="Garamond" w:hAnsi="Garamond"/>
          <w:b/>
          <w:sz w:val="22"/>
        </w:rPr>
        <w:t xml:space="preserve"> Sri Lestari </w:t>
      </w:r>
    </w:p>
    <w:p w:rsidR="00A60AAA" w:rsidRPr="00B54ECC" w:rsidRDefault="00A60AAA" w:rsidP="00A60AAA">
      <w:pPr>
        <w:spacing w:before="280"/>
        <w:ind w:firstLine="0"/>
        <w:rPr>
          <w:rFonts w:ascii="Garamond" w:hAnsi="Garamond"/>
          <w:sz w:val="22"/>
        </w:rPr>
      </w:pPr>
      <w:proofErr w:type="spellStart"/>
      <w:r w:rsidRPr="00B54ECC">
        <w:rPr>
          <w:rFonts w:ascii="Garamond" w:hAnsi="Garamond"/>
          <w:sz w:val="22"/>
        </w:rPr>
        <w:t>Sekolah</w:t>
      </w:r>
      <w:proofErr w:type="spellEnd"/>
      <w:r w:rsidRPr="00B54ECC">
        <w:rPr>
          <w:rFonts w:ascii="Garamond" w:hAnsi="Garamond"/>
          <w:sz w:val="22"/>
        </w:rPr>
        <w:t xml:space="preserve"> </w:t>
      </w:r>
      <w:proofErr w:type="spellStart"/>
      <w:r w:rsidRPr="00B54ECC">
        <w:rPr>
          <w:rFonts w:ascii="Garamond" w:hAnsi="Garamond"/>
          <w:sz w:val="22"/>
        </w:rPr>
        <w:t>Menengah</w:t>
      </w:r>
      <w:proofErr w:type="spellEnd"/>
      <w:r w:rsidRPr="00B54ECC">
        <w:rPr>
          <w:rFonts w:ascii="Garamond" w:hAnsi="Garamond"/>
          <w:sz w:val="22"/>
        </w:rPr>
        <w:t xml:space="preserve"> </w:t>
      </w:r>
      <w:proofErr w:type="spellStart"/>
      <w:r w:rsidRPr="00B54ECC">
        <w:rPr>
          <w:rFonts w:ascii="Garamond" w:hAnsi="Garamond"/>
          <w:sz w:val="22"/>
        </w:rPr>
        <w:t>Atas</w:t>
      </w:r>
      <w:proofErr w:type="spellEnd"/>
      <w:r w:rsidRPr="00B54ECC">
        <w:rPr>
          <w:rFonts w:ascii="Garamond" w:hAnsi="Garamond"/>
          <w:sz w:val="22"/>
        </w:rPr>
        <w:t xml:space="preserve"> </w:t>
      </w:r>
      <w:proofErr w:type="spellStart"/>
      <w:r w:rsidRPr="00B54ECC">
        <w:rPr>
          <w:rFonts w:ascii="Garamond" w:hAnsi="Garamond"/>
          <w:sz w:val="22"/>
        </w:rPr>
        <w:t>Negeri</w:t>
      </w:r>
      <w:proofErr w:type="spellEnd"/>
      <w:r w:rsidRPr="00B54ECC">
        <w:rPr>
          <w:rFonts w:ascii="Garamond" w:hAnsi="Garamond"/>
          <w:sz w:val="22"/>
        </w:rPr>
        <w:t xml:space="preserve"> 1 </w:t>
      </w:r>
      <w:proofErr w:type="spellStart"/>
      <w:r w:rsidRPr="00B54ECC">
        <w:rPr>
          <w:rFonts w:ascii="Garamond" w:hAnsi="Garamond"/>
          <w:sz w:val="22"/>
        </w:rPr>
        <w:t>Karanganyar</w:t>
      </w:r>
      <w:proofErr w:type="spellEnd"/>
      <w:r w:rsidRPr="00B54ECC">
        <w:rPr>
          <w:rFonts w:ascii="Garamond" w:hAnsi="Garamond"/>
          <w:sz w:val="22"/>
        </w:rPr>
        <w:t xml:space="preserve">, </w:t>
      </w:r>
      <w:proofErr w:type="spellStart"/>
      <w:r w:rsidRPr="00B54ECC">
        <w:rPr>
          <w:rFonts w:ascii="Garamond" w:hAnsi="Garamond"/>
          <w:bCs/>
          <w:sz w:val="22"/>
        </w:rPr>
        <w:t>Jalan</w:t>
      </w:r>
      <w:proofErr w:type="spellEnd"/>
      <w:r w:rsidRPr="00B54ECC">
        <w:rPr>
          <w:rFonts w:ascii="Garamond" w:hAnsi="Garamond"/>
          <w:bCs/>
          <w:sz w:val="22"/>
        </w:rPr>
        <w:t xml:space="preserve"> A.W. </w:t>
      </w:r>
      <w:proofErr w:type="spellStart"/>
      <w:r w:rsidRPr="00B54ECC">
        <w:rPr>
          <w:rFonts w:ascii="Garamond" w:hAnsi="Garamond"/>
          <w:bCs/>
          <w:sz w:val="22"/>
        </w:rPr>
        <w:t>Monginsidi</w:t>
      </w:r>
      <w:proofErr w:type="spellEnd"/>
      <w:r w:rsidRPr="00B54ECC">
        <w:rPr>
          <w:rFonts w:ascii="Garamond" w:hAnsi="Garamond"/>
          <w:bCs/>
          <w:sz w:val="22"/>
        </w:rPr>
        <w:t xml:space="preserve"> No. 3, </w:t>
      </w:r>
      <w:proofErr w:type="spellStart"/>
      <w:r w:rsidRPr="00B54ECC">
        <w:rPr>
          <w:rFonts w:ascii="Garamond" w:hAnsi="Garamond"/>
          <w:bCs/>
          <w:sz w:val="22"/>
        </w:rPr>
        <w:t>Kelurahan</w:t>
      </w:r>
      <w:proofErr w:type="spellEnd"/>
      <w:r w:rsidRPr="00B54ECC">
        <w:rPr>
          <w:rFonts w:ascii="Garamond" w:hAnsi="Garamond"/>
          <w:bCs/>
          <w:sz w:val="22"/>
        </w:rPr>
        <w:t xml:space="preserve"> </w:t>
      </w:r>
      <w:proofErr w:type="spellStart"/>
      <w:r w:rsidRPr="00B54ECC">
        <w:rPr>
          <w:rFonts w:ascii="Garamond" w:hAnsi="Garamond"/>
          <w:bCs/>
          <w:sz w:val="22"/>
        </w:rPr>
        <w:t>Tegalgede</w:t>
      </w:r>
      <w:proofErr w:type="spellEnd"/>
      <w:r w:rsidRPr="00B54ECC">
        <w:rPr>
          <w:rFonts w:ascii="Garamond" w:hAnsi="Garamond"/>
          <w:bCs/>
          <w:sz w:val="22"/>
        </w:rPr>
        <w:t xml:space="preserve">, </w:t>
      </w:r>
      <w:proofErr w:type="spellStart"/>
      <w:r w:rsidRPr="00B54ECC">
        <w:rPr>
          <w:rFonts w:ascii="Garamond" w:hAnsi="Garamond"/>
          <w:bCs/>
          <w:sz w:val="22"/>
        </w:rPr>
        <w:t>Kecamatan</w:t>
      </w:r>
      <w:proofErr w:type="spellEnd"/>
      <w:r w:rsidRPr="00B54ECC">
        <w:rPr>
          <w:rFonts w:ascii="Garamond" w:hAnsi="Garamond"/>
          <w:bCs/>
          <w:sz w:val="22"/>
        </w:rPr>
        <w:t xml:space="preserve"> </w:t>
      </w:r>
      <w:proofErr w:type="spellStart"/>
      <w:r w:rsidRPr="00B54ECC">
        <w:rPr>
          <w:rFonts w:ascii="Garamond" w:hAnsi="Garamond"/>
          <w:bCs/>
          <w:sz w:val="22"/>
        </w:rPr>
        <w:t>Karanganyar</w:t>
      </w:r>
      <w:proofErr w:type="spellEnd"/>
      <w:r w:rsidRPr="00B54ECC">
        <w:rPr>
          <w:rFonts w:ascii="Garamond" w:hAnsi="Garamond"/>
          <w:bCs/>
          <w:sz w:val="22"/>
        </w:rPr>
        <w:t xml:space="preserve">, </w:t>
      </w:r>
      <w:proofErr w:type="spellStart"/>
      <w:r w:rsidRPr="00B54ECC">
        <w:rPr>
          <w:rFonts w:ascii="Garamond" w:hAnsi="Garamond"/>
          <w:bCs/>
          <w:sz w:val="22"/>
        </w:rPr>
        <w:t>Kabupaten</w:t>
      </w:r>
      <w:proofErr w:type="spellEnd"/>
      <w:r w:rsidRPr="00B54ECC">
        <w:rPr>
          <w:rFonts w:ascii="Garamond" w:hAnsi="Garamond"/>
          <w:bCs/>
          <w:sz w:val="22"/>
        </w:rPr>
        <w:t xml:space="preserve"> </w:t>
      </w:r>
      <w:proofErr w:type="spellStart"/>
      <w:r w:rsidRPr="00B54ECC">
        <w:rPr>
          <w:rFonts w:ascii="Garamond" w:hAnsi="Garamond"/>
          <w:bCs/>
          <w:sz w:val="22"/>
        </w:rPr>
        <w:t>Karanganyar</w:t>
      </w:r>
      <w:proofErr w:type="spellEnd"/>
      <w:r w:rsidRPr="00B54ECC">
        <w:rPr>
          <w:rFonts w:ascii="Garamond" w:hAnsi="Garamond"/>
          <w:bCs/>
          <w:sz w:val="22"/>
        </w:rPr>
        <w:t xml:space="preserve">, </w:t>
      </w:r>
      <w:proofErr w:type="spellStart"/>
      <w:r w:rsidRPr="00B54ECC">
        <w:rPr>
          <w:rFonts w:ascii="Garamond" w:hAnsi="Garamond"/>
          <w:bCs/>
          <w:sz w:val="22"/>
        </w:rPr>
        <w:t>Jawa</w:t>
      </w:r>
      <w:proofErr w:type="spellEnd"/>
      <w:r w:rsidRPr="00B54ECC">
        <w:rPr>
          <w:rFonts w:ascii="Garamond" w:hAnsi="Garamond"/>
          <w:bCs/>
          <w:sz w:val="22"/>
        </w:rPr>
        <w:t xml:space="preserve"> Tengah</w:t>
      </w:r>
      <w:r w:rsidRPr="00B54ECC">
        <w:rPr>
          <w:rFonts w:ascii="Garamond" w:hAnsi="Garamond"/>
          <w:sz w:val="22"/>
        </w:rPr>
        <w:t>, INDONESIA</w:t>
      </w:r>
    </w:p>
    <w:p w:rsidR="00A60AAA" w:rsidRPr="00B54ECC" w:rsidRDefault="00A60AAA" w:rsidP="00A60AAA">
      <w:pPr>
        <w:spacing w:before="280"/>
        <w:ind w:firstLine="0"/>
        <w:rPr>
          <w:rFonts w:ascii="Garamond" w:hAnsi="Garamond"/>
          <w:sz w:val="22"/>
        </w:rPr>
      </w:pPr>
      <w:r w:rsidRPr="00B54ECC">
        <w:rPr>
          <w:rFonts w:ascii="Garamond" w:hAnsi="Garamond"/>
          <w:sz w:val="22"/>
        </w:rPr>
        <w:t>E-mail: srilestariendang99@gmail.com</w:t>
      </w:r>
    </w:p>
    <w:p w:rsidR="00A60AAA" w:rsidRPr="00B54ECC" w:rsidRDefault="00A60AAA" w:rsidP="00A60AAA">
      <w:pPr>
        <w:spacing w:before="280"/>
        <w:ind w:firstLine="0"/>
        <w:jc w:val="both"/>
        <w:rPr>
          <w:rFonts w:ascii="Garamond" w:hAnsi="Garamond"/>
          <w:sz w:val="22"/>
        </w:rPr>
      </w:pPr>
      <w:r w:rsidRPr="00B54ECC">
        <w:rPr>
          <w:rFonts w:ascii="Garamond" w:hAnsi="Garamond"/>
          <w:b/>
          <w:bCs/>
          <w:sz w:val="22"/>
        </w:rPr>
        <w:t xml:space="preserve">Abstract. </w:t>
      </w:r>
      <w:r w:rsidRPr="00B54ECC">
        <w:rPr>
          <w:rFonts w:ascii="Garamond" w:hAnsi="Garamond"/>
          <w:sz w:val="22"/>
        </w:rPr>
        <w:t xml:space="preserve">Education about medicinal plants facilitates the development of scientific research skills, including field data collection, laboratory analysis, and the writing of research reports in line with the developments in 21st-century education, which emphasize knowledge-based skills. This research aims to evaluate the implementation of biology education with the integration of medicinal plant materials in an effort to harness local potential, viewed from the perspectives of educators and policy stakeholders using SWOT analysis. This study employs a qualitative research approach with a case study design, allowing for an in-depth understanding of the implementation of biology education and the prospects for the development of medicinal plant materials in several schools. Qualitative research methods provide a profound insight into the implementation of biology education, the prospects for the development of medicinal plant materials, and the identification of factors influencing its implementation. The research was conducted in senior high schools (SMA) in </w:t>
      </w:r>
      <w:proofErr w:type="spellStart"/>
      <w:r w:rsidRPr="00B54ECC">
        <w:rPr>
          <w:rFonts w:ascii="Garamond" w:hAnsi="Garamond"/>
          <w:sz w:val="22"/>
        </w:rPr>
        <w:t>Karanganyar</w:t>
      </w:r>
      <w:proofErr w:type="spellEnd"/>
      <w:r w:rsidRPr="00B54ECC">
        <w:rPr>
          <w:rFonts w:ascii="Garamond" w:hAnsi="Garamond"/>
          <w:sz w:val="22"/>
        </w:rPr>
        <w:t>. School selection was done purposively, considering variables such as the level of implementation success, geographical location, and student population diversity. Research participants include Biology teachers, students, and education policy stakeholders. The research results provide valuable insights into how education about medicinal plants can influence students' understanding of biodiversity, ecosystem roles, as well as environmental and cultural impacts. Furthermore, this research has identified challenges and opportunities in integrating medicinal plant materials into biology learning.</w:t>
      </w:r>
    </w:p>
    <w:p w:rsidR="00A60AAA" w:rsidRPr="00B54ECC" w:rsidRDefault="00A60AAA" w:rsidP="00A60AAA">
      <w:pPr>
        <w:spacing w:before="280"/>
        <w:ind w:firstLine="0"/>
        <w:jc w:val="both"/>
        <w:rPr>
          <w:rFonts w:ascii="Garamond" w:hAnsi="Garamond"/>
          <w:sz w:val="22"/>
        </w:rPr>
      </w:pPr>
      <w:r w:rsidRPr="00B54ECC">
        <w:rPr>
          <w:rFonts w:ascii="Garamond" w:hAnsi="Garamond"/>
          <w:b/>
          <w:bCs/>
          <w:sz w:val="22"/>
        </w:rPr>
        <w:t>Keywords:</w:t>
      </w:r>
      <w:r w:rsidRPr="00B54ECC">
        <w:rPr>
          <w:rFonts w:ascii="Garamond" w:hAnsi="Garamond"/>
          <w:sz w:val="22"/>
        </w:rPr>
        <w:t xml:space="preserve"> Development, Medicinal Plants, Perceptions, </w:t>
      </w:r>
      <w:proofErr w:type="spellStart"/>
      <w:r w:rsidRPr="00B54ECC">
        <w:rPr>
          <w:rFonts w:ascii="Garamond" w:hAnsi="Garamond"/>
          <w:sz w:val="22"/>
        </w:rPr>
        <w:t>Karanganyar</w:t>
      </w:r>
      <w:proofErr w:type="spellEnd"/>
      <w:r w:rsidRPr="00B54ECC">
        <w:rPr>
          <w:rFonts w:ascii="Garamond" w:hAnsi="Garamond"/>
          <w:sz w:val="22"/>
        </w:rPr>
        <w:t>, SWOT.</w:t>
      </w:r>
    </w:p>
    <w:p w:rsidR="00A60AAA" w:rsidRPr="00B54ECC" w:rsidRDefault="00A60AAA" w:rsidP="00A60AAA">
      <w:pPr>
        <w:spacing w:before="280"/>
        <w:ind w:firstLine="0"/>
        <w:jc w:val="both"/>
        <w:rPr>
          <w:rFonts w:ascii="Garamond" w:hAnsi="Garamond"/>
          <w:b/>
          <w:sz w:val="22"/>
        </w:rPr>
      </w:pPr>
      <w:r w:rsidRPr="00B54ECC">
        <w:rPr>
          <w:rFonts w:ascii="Garamond" w:hAnsi="Garamond"/>
          <w:b/>
          <w:sz w:val="22"/>
        </w:rPr>
        <w:t>INTRODUCTION</w:t>
      </w:r>
    </w:p>
    <w:p w:rsidR="00A60AAA" w:rsidRPr="00B54ECC" w:rsidRDefault="00A60AAA" w:rsidP="00A60AAA">
      <w:pPr>
        <w:spacing w:before="280"/>
        <w:ind w:firstLine="0"/>
        <w:jc w:val="both"/>
        <w:rPr>
          <w:rFonts w:ascii="Garamond" w:hAnsi="Garamond"/>
          <w:sz w:val="22"/>
        </w:rPr>
      </w:pPr>
      <w:r w:rsidRPr="00B54ECC">
        <w:rPr>
          <w:rFonts w:ascii="Garamond" w:hAnsi="Garamond"/>
          <w:sz w:val="22"/>
          <w:lang w:val="id-ID"/>
        </w:rPr>
        <w:t>Learning about medicinal plants helps students understand important concepts about biodiversity and its crucial role in ecosystems</w:t>
      </w:r>
      <w:r w:rsidRPr="00B54ECC">
        <w:rPr>
          <w:rFonts w:ascii="Garamond" w:hAnsi="Garamond"/>
          <w:sz w:val="22"/>
        </w:rPr>
        <w:t xml:space="preserve"> </w:t>
      </w:r>
      <w:bookmarkStart w:id="0" w:name="_Hlk145844003"/>
      <w:r w:rsidRPr="00B54ECC">
        <w:rPr>
          <w:rFonts w:ascii="Garamond" w:hAnsi="Garamond"/>
          <w:sz w:val="22"/>
        </w:rPr>
        <w:fldChar w:fldCharType="begin" w:fldLock="1"/>
      </w:r>
      <w:r w:rsidRPr="00B54ECC">
        <w:rPr>
          <w:rFonts w:ascii="Garamond" w:hAnsi="Garamond"/>
          <w:sz w:val="22"/>
        </w:rPr>
        <w:instrText>ADDIN CSL_CITATION {"citationItems":[{"id":"ITEM-1","itemData":{"DOI":"10.36873/jjms.v1i1.134","abstract":"Tujan penelitian ini mendeskripsikan botani tanaman meniran hijau (Phyllanthus ninuri L), mengetahui kandungan fitokimia dan khasiatnya dalam tradisi pengobatan penyakit herpes zozter oleh masyarakat suku Dayak Ngaju Kalimantan Tengah. Jenis penelitian ini adalah deskriptif eksploratif dengan wawancara dan observasi. Wawancara dilakukan secara terstruktur dan semi terstruktur yang disertai dengan keterlibatan aktif peneliti dalam kegiatan masyarakat setempat / parcipatory ethnobotanica apraisa (PEA). Data tradisi pengobatan suku Dayak Ngaju dan kandungan fitokimia dianalisis deskriptif kualitatif, dan pengaruhnya terhadap kulit dengan membandingkan dengan referensi. Teknik keabsahan data dengan triangulasi / konfirmabilitas, dimana data diambil lebih dari 3 subjek informasi kunci dan non kunci yang berbeda. Hasil penelitian menunjukkan bahwa ekstrak daun meniran hijau dibuat ramuan dicampurkan dengan kasai tai handalai (kotoran cacing tanah) dipercaya mampu menyembuhkan penyakit kulit kayap ular (herpes zoster) dengan metode penggunaan sebagai obat luar serupa salep. Terdapat beberapa perlakuan khas menurut tradisi setempat, yaitu (1) pembuatan ramuan harus dilaksanakan menjelang senja, (2) ada doa tertentu saat pengobatan, (3) pengobatan selama 3 hari berturut-turut dan harus dimulai dari hari jumat, (4) pasien diharuskan membawa jarum. Kandungan ekstrak meniran hijau memiliki kontribusi besar dalam campuran racikan kasai tai handalai. Antrakuinon yang terkandung pada ekstrak meniran membantu merangsang meningkatnya imunitas tubuh dengan mendorong limfosit T aktif bekerja, zat quercetin  berperan sebagai anti-inflamasi, dan kandungan alkaloid pada meniran berperan sebagai anti-nociceptive. Kotoran cacing mengandung mineral berupa Zinc (Zn) yang juga memiliki peran besar dalam penyembuhan herpes zoster serta menutrisi kulit.","author":[{"dropping-particle":"","family":"Ervina","given":"Maharani Nida","non-dropping-particle":"","parse-names":false,"suffix":""},{"dropping-particle":"","family":"Mulyono","given":"Yatin","non-dropping-particle":"","parse-names":false,"suffix":""}],"container-title":"Jurnal Jejaring Matematika dan Sains","id":"ITEM-1","issue":"1","issued":{"date-parts":[["2019"]]},"page":"30-38","title":"Etnobotani Meniran Hijau (Phyllanthus ninuri L) Sebagai Potensi Obat Kayap Ular (Herpes Zoster) dalam Tradisi Suku Dayak Ngaju","type":"article-journal","volume":"1"},"uris":["http://www.mendeley.com/documents/?uuid=18badc31-25b9-4082-81a2-b20f8779ec78"]},{"id":"ITEM-2","itemData":{"DOI":"10.1016/j.tsc.2024.101575","ISSN":"1871-1871","author":[{"dropping-particle":"","family":"Affandy","given":"Harry","non-dropping-particle":"","parse-names":false,"suffix":""},{"dropping-particle":"","family":"Sunarno","given":"Widha","non-dropping-particle":"","parse-names":false,"suffix":""},{"dropping-particle":"","family":"Suryana","given":"Risa","non-dropping-particle":"","parse-names":false,"suffix":""},{"dropping-particle":"","family":"Harjana","given":"","non-dropping-particle":"","parse-names":false,"suffix":""}],"container-title":"Thinking Skills and Creativity","id":"ITEM-2","issued":{"date-parts":[["2024"]]},"page":"Article 101575","publisher":"Elsevier Ltd","title":"Integrating creative pedagogy into problem-based learning: The effects on higher order thinking skills in science education","type":"article-journal","volume":"53"},"uris":["http://www.mendeley.com/documents/?uuid=a5a02a81-c692-4a3c-970a-aeea862787e6"]}],"mendeley":{"formattedCitation":"(Affandy et al., 2024a; Ervina &amp; Mulyono, 2019)","plainTextFormattedCitation":"(Affandy et al., 2024a; Ervina &amp; Mulyono, 2019)","previouslyFormattedCitation":"(Affandy et al., 2024; Ervina &amp; Mulyono,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(Affandy et al., 2024a; Ervina &amp; Mulyono, 2019)</w:t>
      </w:r>
      <w:r w:rsidRPr="00B54ECC">
        <w:rPr>
          <w:rFonts w:ascii="Garamond" w:hAnsi="Garamond"/>
          <w:sz w:val="22"/>
        </w:rPr>
        <w:fldChar w:fldCharType="end"/>
      </w:r>
      <w:bookmarkEnd w:id="0"/>
      <w:r w:rsidRPr="00B54ECC">
        <w:rPr>
          <w:rFonts w:ascii="Garamond" w:hAnsi="Garamond"/>
          <w:sz w:val="22"/>
          <w:lang w:val="id-ID"/>
        </w:rPr>
        <w:t>. Learning about medicinal plants also enables students to grasp the impacts of environmental changes on flora and fauna</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{"citationItems":[{"id":"ITEM-1","itemData":{"author":[{"dropping-particle":"","family":"Munadi","given":"Ernawati","non-dropping-particle":"","parse-names":false,"suffix":""}],"chapter-number":"1","container-title":"Info Komoditi Tanaman Obat","editor":[{"dropping-particle":"","family":"Salim","given":"Zamroni","non-dropping-particle":"","parse-names":false,"suffix":""},{"dropping-particle":"","family":"Munadi","given":"Ernawati","non-dropping-particle":"","parse-names":false,"suffix":""}],"id":"ITEM-1","issued":{"date-parts":[["2017"]]},"page":"1-8","publisher":"Badan Pengkajian dan Pengembangan Perdagangan Kementerian Perdagangan Republik Indonesia","publisher-place":"Jakarta","title":"Tanaman Obat, Sebuah Tinjauan Singkat","type":"chapter"},"uris":["http://www.mendeley.com/documents/?uuid=4cb5d4e8-aa1b-432d-85e8-85c6f077b494"]},{"id":"ITEM-2","itemData":{"DOI":"10.15294/jpii.v13i4.852","author":[{"dropping-particle":"","family":"Kusumadani","given":"A I","non-dropping-particle":"","parse-names":false,"suffix":""},{"dropping-particle":"","family":"Affandy","given":"H","non-dropping-particle":"","parse-names":false,"suffix":""},{"dropping-particle":"","family":"Sunarno","given":"W","non-dropping-particle":"","parse-names":false,"suffix":""},{"dropping-particle":"","family":"Suryana","given":"Risa","non-dropping-particle":"","parse-names":false,"suffix":""},{"dropping-particle":"","family":"Andiena","given":"R Z","non-dropping-particle":"","parse-names":false,"suffix":""}],"container-title":"Jurnal Pendidikan IPA Indonesia","id":"ITEM-2","issue":"4","issued":{"date-parts":[["2024"]]},"page":"668-679","title":"Novel approach in enhancing science education through problem-based creative learning and Delphi evaluation","type":"article-journal","volume":"13"},"uris":["http://www.mendeley.com/documents/?uuid=537b0d59-e60c-4005-af78-57329bd367b5"]}],"mendeley":{"formattedCitation":"(Kusumadani et al., 2024; Munadi, 2017)","plainTextFormattedCitation":"(Kusumadani et al., 2024; Munadi, 2017)","previouslyFormattedCitation":"(Kusumadani et al., 2024; Munadi,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(Kusumadani et al., 2024; Munadi, 2017)</w:t>
      </w:r>
      <w:r w:rsidRPr="00B54ECC">
        <w:rPr>
          <w:rFonts w:ascii="Garamond" w:hAnsi="Garamond"/>
          <w:sz w:val="22"/>
        </w:rPr>
        <w:fldChar w:fldCharType="end"/>
      </w:r>
      <w:r w:rsidRPr="00B54ECC">
        <w:rPr>
          <w:rFonts w:ascii="Garamond" w:hAnsi="Garamond"/>
          <w:sz w:val="22"/>
          <w:lang w:val="id-ID"/>
        </w:rPr>
        <w:t>. Learning about medicinal plants allows students to develop scientific research skills</w:t>
      </w:r>
      <w:r w:rsidRPr="00B54ECC">
        <w:rPr>
          <w:rFonts w:ascii="Garamond" w:hAnsi="Garamond"/>
          <w:sz w:val="22"/>
        </w:rPr>
        <w:t xml:space="preserve"> </w:t>
      </w:r>
      <w:bookmarkStart w:id="1" w:name="_Hlk145844089"/>
      <w:r w:rsidRPr="00B54ECC">
        <w:rPr>
          <w:rFonts w:ascii="Garamond" w:hAnsi="Garamond"/>
          <w:sz w:val="22"/>
        </w:rPr>
        <w:fldChar w:fldCharType="begin" w:fldLock="1"/>
      </w:r>
      <w:r w:rsidRPr="00B54ECC">
        <w:rPr>
          <w:rFonts w:ascii="Garamond" w:hAnsi="Garamond"/>
          <w:sz w:val="22"/>
        </w:rPr>
        <w:instrText>ADDIN CSL_CITATION {"citationItems":[{"id":"ITEM-1","itemData":{"ISSN":"2722-0257","abstract":"Bamboo is a clumping plant, and distributed in tropics, subtropic and temperate regions. This study aimed to explore ethnobotanical aspects related to bamboo as a household handicraft and construction material. The selection of respondent used Snowball Sampling, while sampling areas were selected purposively. Data were analyzed qualitatively and quantitatively based on interviews, reported use, index of cultural significance, and fidelity level. The result showed that there were six species of bamboos used as materials for household crafts and construction, i.e. treng tutul (Bambusa maculata), treng tali (Gigantochloa apus), treng galah (Gigantochloa atter), treng dendeng (Bambusa vulgaris), treng bilok (Schizostachyum jaculans), dan treng betung (Dendrocalamus asper). The use of bamboo in household crafts was divided into eight categories, namely kitchen utensils, furnitures, room decorations, musical instruments, rituals’ tools, farming tools, art tools, and other kitchen utensils, meanwhile for the construction material was divided into three categories, namely: building construction, agricultural construction, and transportation tools. Several issues related to the uses of bamboo, especially as household crafts and construction, in West Lombok Regency were conservation, sosio-cultural, economic, and constraints in cultivation.","author":[{"dropping-particle":"","family":"Siskawati","given":"Kurniasih Sukenti","non-dropping-particle":"","parse-names":false,"suffix":""}],"container-title":"Seminar Nasional Perhimpunan Masyarakat Etnobiologi Indonesia","id":"ITEM-1","issued":{"date-parts":[["2021"]]},"page":"158-164","title":"Kajian Etnobotani Jenis-Jenis Bambu Sebagai Bahan Perlengkapan Rumah Tangga dan Konstruksi di Kabupaten Lombok Barat","type":"paper-conference"},"uris":["http://www.mendeley.com/documents/?uuid=117a5434-cec2-4e11-beb1-49fa525dee0f"]}],"mendeley":{"formattedCitation":"(Siskawati, 2021)","plainTextFormattedCitation":"(Siskawati, 2021)","previouslyFormattedCitation":"(Siskawati, 2021)"},"properties":{"noteIndex":0},"schema":"https://github.com/citation-style-language/schema/raw/master/csl-citation.json"}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(Siskawati, 2021)</w:t>
      </w:r>
      <w:r w:rsidRPr="00B54ECC">
        <w:rPr>
          <w:rFonts w:ascii="Garamond" w:hAnsi="Garamond"/>
          <w:sz w:val="22"/>
        </w:rPr>
        <w:fldChar w:fldCharType="end"/>
      </w:r>
      <w:bookmarkEnd w:id="1"/>
      <w:r w:rsidRPr="00B54ECC">
        <w:rPr>
          <w:rFonts w:ascii="Garamond" w:hAnsi="Garamond"/>
          <w:sz w:val="22"/>
          <w:lang w:val="id-ID"/>
        </w:rPr>
        <w:t>, including field data collection, laboratory analysis, and research report writing</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{"citationItems":[{"id":"ITEM-1","itemData":{"DOI":"10.1088/1742-6596/1153/1/012132","ISSN":"17426596","abstract":"© Published under licence by IOP Publishing Ltd. This study aims to determine the relationship between character education and students critical thinking skills as the basis for success in the 21st century. The test instrument used is a critical thinking skill test using 4 items from the national exam, a character education questionnaire and Focus Group Discussion (FGD). The sample used is 99 students from all students in SMA Batik 2 Surakarta. The data obtained were analyzed using Bivariate Person to determine the content validity and Cronbach alpha to find out the reliability of the instrument. The test used to determine the relationship of character education with critical thinking skills using the Mann-Whitney U test. The analyzed result obtained content validity (Rbis&gt; 0,05) and instrument reliability is good enough with Alpha value 0,794 (&gt; 0,70). Test results show that there is a relationship between character education and critical thinking skills with Asymp Sig. 2-tailed by 0.011 (&lt;0.05).","author":[{"dropping-particle":"","family":"Affandy","given":"H.","non-dropping-particle":"","parse-names":false,"suffix":""},{"dropping-particle":"","family":"Aminah","given":"N.S.","non-dropping-particle":"","parse-names":false,"suffix":""},{"dropping-particle":"","family":"Supriyanto","given":"A.","non-dropping-particle":"","parse-names":false,"suffix":""}],"container-title":"Journal of Physics: Conference Series","id":"ITEM-1","issue":"1","issued":{"date-parts":[["2019"]]},"title":"The correlation of character education with critical thinking skills as an important attribute to success in the 21 &lt;sup&gt;st&lt;/sup&gt; century","type":"paper-conference","volume":"1153"},"uris":["http://www.mendeley.com/documents/?uuid=ef14e52e-5421-3d5a-ae2a-5cba1a2a7c10"]},{"id":"ITEM-2","itemData":{"DOI":"10.1088/1742-6596/1155/1/012065","ISSN":"17426596","abstract":"Understanding students' concepts can be achieved well, one of them is by applying Problem Based Learning. With Problem Based Learning, students can be actively involved in learning. This article discusses the Problem Based Learning that applies argumentation skills to improve understanding of the buoyant style concept of high school students. With the right learning steps in accordance with the syntax of Problem Based Learning, understanding of concepts will be achieved in students. Besides that, it involves students' skills in the cognitive, affective, and psychomotor domains. One of the skills analyzed is argumentation skills. In this study, the argumentation skill in problem-based learning is high, which is 0.639 which means that the relationship between the skills of argumentation in problem-based learning is very good. Each activity is expected to facilitate students to develop an understanding of students' scientific concepts such as observing, concluding, predicting, asking questions, constructing hypotheses, designing experiments, applying concepts, and communicating. Problem Based Learning with argumentation skills can improve students' understanding of concepts.","author":[{"dropping-particle":"","family":"Pratiwi","given":"S. N.","non-dropping-particle":"","parse-names":false,"suffix":""},{"dropping-particle":"","family":"Cari","given":"C.","non-dropping-particle":"","parse-names":false,"suffix":""},{"dropping-particle":"","family":"Aminah","given":"N. S.","non-dropping-particle":"","parse-names":false,"suffix":""},{"dropping-particle":"","family":"Affandy","given":"H.","non-dropping-particle":"","parse-names":false,"suffix":""}],"container-title":"Journal of Physics: Conference Series","id":"ITEM-2","issue":"1","issued":{"date-parts":[["2019"]]},"title":"Problem-based learning with argumentation skills to improve students' concept understanding","type":"article-journal","volume":"1155"},"uris":["http://www.mendeley.com/documents/?uuid=0e2d6b98-18e9-4cea-807d-7733dafdc7ef"]}],"mendeley":{"formattedCitation":"(Affandy et al., 2019; Pratiwi et al., 2019)","plainTextFormattedCitation":"(Affandy et al., 2019; Pratiwi et al., 2019)","previouslyFormattedCitation":"(Affandy et al., 2019; Pratiwi et al.,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(Affandy et al., 2019; Pratiwi et al., 2019)</w:t>
      </w:r>
      <w:r w:rsidRPr="00B54ECC">
        <w:rPr>
          <w:rFonts w:ascii="Garamond" w:hAnsi="Garamond"/>
          <w:sz w:val="22"/>
        </w:rPr>
        <w:fldChar w:fldCharType="end"/>
      </w:r>
      <w:r w:rsidRPr="00B54ECC">
        <w:rPr>
          <w:rFonts w:ascii="Garamond" w:hAnsi="Garamond"/>
          <w:sz w:val="22"/>
        </w:rPr>
        <w:t>.</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The abundance of medicinal plants in nature creates opportunities to address issues of natural conservation and species protection</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{"citationItems":[{"id":"ITEM-1","itemData":{"DOI":"10.1016/j.lcsi.2019.100333","ISSN":"22106561","abstract":"Children's learning is organized and supported by the cultural communities in which the children participate. This study builds on the paradigm of Learning by Observing and Pitching In (LOPI) to explore how Yucatec Maya children (ages 7 to 12) describe and understand their learning process, illustrated by how they learn about medicinal plants. Using semi-structured interviews, children identified the use of 16 medicinal plants used to cure common illnesses in their community, including skin, respiratory, or digestive problems. Children's most prevalent learning approaches in our sample were observing adults using medicinal plants, listening to related conversations during preparation, asking clarifying questions, and collecting medicinal plants. Their own experience with illness was a source of knowledge and an opportunity to learn about plants' uses and preparation. Children's motivation to contribute seemed pivotal in their learning process. Full integration into the community facilitated their acquisition of medicinal plant knowledge through a gradual learning process guided by their interest to help others. These findings highlight the need to understand how learning is a culturally organized activity, as well as the need to recognize children as active agents in their own development.","author":[{"dropping-particle":"","family":"Jiménez-Balam","given":"Deira","non-dropping-particle":"","parse-names":false,"suffix":""},{"dropping-particle":"","family":"Alcalá","given":"Lucía","non-dropping-particle":"","parse-names":false,"suffix":""},{"dropping-particle":"","family":"Salgado","given":"Dania","non-dropping-particle":"","parse-names":false,"suffix":""}],"container-title":"Learning, Culture and Social Interaction","id":"ITEM-1","issue":"June","issued":{"date-parts":[["2019"]]},"page":"100333","publisher":"Elsevier","title":"Maya children's medicinal plant knowledge: Initiative and agency in their learning process","type":"article-journal","volume":"22"},"uris":["http://www.mendeley.com/documents/?uuid=fdb8e26c-edb3-40e8-96d5-828e1a055fb5"]},{"id":"ITEM-2","itemData":{"DOI":"10.1088/1742-6596/1153/1/012132","ISSN":"17426596","abstract":"© Published under licence by IOP Publishing Ltd. This study aims to determine the relationship between character education and students critical thinking skills as the basis for success in the 21st century. The test instrument used is a critical thinking skill test using 4 items from the national exam, a character education questionnaire and Focus Group Discussion (FGD). The sample used is 99 students from all students in SMA Batik 2 Surakarta. The data obtained were analyzed using Bivariate Person to determine the content validity and Cronbach alpha to find out the reliability of the instrument. The test used to determine the relationship of character education with critical thinking skills using the Mann-Whitney U test. The analyzed result obtained content validity (Rbis&gt; 0,05) and instrument reliability is good enough with Alpha value 0,794 (&gt; 0,70). Test results show that there is a relationship between character education and critical thinking skills with Asymp Sig. 2-tailed by 0.011 (&lt;0.05).","author":[{"dropping-particle":"","family":"Affandy","given":"H.","non-dropping-particle":"","parse-names":false,"suffix":""},{"dropping-particle":"","family":"Aminah","given":"N.S.","non-dropping-particle":"","parse-names":false,"suffix":""},{"dropping-particle":"","family":"Supriyanto","given":"A.","non-dropping-particle":"","parse-names":false,"suffix":""}],"container-title":"Journal of Physics: Conference Series","id":"ITEM-2","issue":"1","issued":{"date-parts":[["2019"]]},"title":"The correlation of character education with critical thinking skills as an important attribute to success in the 21 &lt;sup&gt;st&lt;/sup&gt; century","type":"paper-conference","volume":"1153"},"uris":["http://www.mendeley.com/documents/?uuid=ef14e52e-5421-3d5a-ae2a-5cba1a2a7c10"]}],"mendeley":{"formattedCitation":"(Affandy et al., 2019; Jiménez-Balam et al., 2019)","plainTextFormattedCitation":"(Affandy et al., 2019; Jiménez-Balam et al., 2019)","previouslyFormattedCitation":"(Affandy et al., 2019; Jiménez-Balam et al.,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(Affandy et al., 2019; Jiménez-Balam et al., 2019)</w:t>
      </w:r>
      <w:r w:rsidRPr="00B54ECC">
        <w:rPr>
          <w:rFonts w:ascii="Garamond" w:hAnsi="Garamond"/>
          <w:sz w:val="22"/>
        </w:rPr>
        <w:fldChar w:fldCharType="end"/>
      </w:r>
      <w:r w:rsidRPr="00B54ECC">
        <w:rPr>
          <w:rFonts w:ascii="Garamond" w:hAnsi="Garamond"/>
          <w:sz w:val="22"/>
          <w:lang w:val="id-ID"/>
        </w:rPr>
        <w:t>. Students can comprehend how excessive exploitation of specific medicinal plants can threaten human survival</w:t>
      </w:r>
      <w:r w:rsidRPr="00B54ECC">
        <w:rPr>
          <w:rFonts w:ascii="Garamond" w:hAnsi="Garamond"/>
          <w:sz w:val="22"/>
        </w:rPr>
        <w:t xml:space="preserve"> </w:t>
      </w:r>
      <w:bookmarkStart w:id="2" w:name="_Hlk145844191"/>
      <w:r w:rsidRPr="00B54ECC">
        <w:rPr>
          <w:rFonts w:ascii="Garamond" w:hAnsi="Garamond"/>
          <w:sz w:val="22"/>
        </w:rPr>
        <w:fldChar w:fldCharType="begin" w:fldLock="1"/>
      </w:r>
      <w:r w:rsidRPr="00B54ECC">
        <w:rPr>
          <w:rFonts w:ascii="Garamond" w:hAnsi="Garamond"/>
          <w:sz w:val="22"/>
        </w:rPr>
        <w:instrText>ADDIN CSL_CITATION {"citationItems":[{"id":"ITEM-1","itemData":{"DOI":"10.1177/2156587216675079","author":[{"dropping-particle":"","family":"Sheikhrabori","given":"Akbar","non-dropping-particle":"","parse-names":false,"suffix":""},{"dropping-particle":"","family":"Dehghan","given":"Mahlagha","non-dropping-particle":"","parse-names":false,"suffix":""},{"dropping-particle":"","family":"Ghaedi","given":"Fateme","non-dropping-particle":"","parse-names":false,"suffix":""}],"container-title":"Journal of Evidence-Based Complementary &amp; Alternative Medicine","id":"ITEM-1","issue":"3","issued":{"date-parts":[["2017"]]},"page":"449-454","title":"Complementary and Alternative Medicine Usage and Its Determinant Factors Among Diabetic Patients : An Iranian Case","type":"article-journal","volume":"22"},"uris":["http://www.mendeley.com/documents/?uuid=3ab72e4d-e080-40d9-9ba6-ad9bd2800c1f"]},{"id":"ITEM-2","itemData":{"DOI":"10.2991/978-2-38476-301-6_74","ISBN":"9782384763016","author":[{"dropping-particle":"","family":"Affandy","given":"Harry","non-dropping-particle":"","parse-names":false,"suffix":""},{"dropping-particle":"","family":"Sunarno","given":"Widha","non-dropping-particle":"","parse-names":false,"suffix":""},{"dropping-particle":"","family":"Suryana","given":"Risa","non-dropping-particle":"","parse-names":false,"suffix":""},{"dropping-particle":"","family":"Harjana","given":"Harjana","non-dropping-particle":"","parse-names":false,"suffix":""}],"container-title":"Proceedings of the 7th International Conference on Learning Innovation and Quality Education (ICLIQE 2023)","id":"ITEM-2","issued":{"date-parts":[["2024"]]},"page":"758-768","publisher":"Atlantis Press SARL","title":"Exploring Middle school students’ Performance of Introduction to Vibrations and Waves","type":"paper-conference"},"uris":["http://www.mendeley.com/documents/?uuid=b8b93165-28a8-4fdc-9a29-6e8f2d0df05d"]}],"mendeley":{"formattedCitation":"(Affandy et al., 2024b; Sheikhrabori et al., 2017)","plainTextFormattedCitation":"(Affandy et al., 2024b; Sheikhrabori et al., 2017)","previouslyFormattedCitation":"(Sheikhrabori et al.,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(Affandy et al., 2024b; Sheikhrabori et al., 2017)</w:t>
      </w:r>
      <w:r w:rsidRPr="00B54ECC">
        <w:rPr>
          <w:rFonts w:ascii="Garamond" w:hAnsi="Garamond"/>
          <w:sz w:val="22"/>
        </w:rPr>
        <w:fldChar w:fldCharType="end"/>
      </w:r>
      <w:r w:rsidRPr="00B54ECC">
        <w:rPr>
          <w:rFonts w:ascii="Garamond" w:hAnsi="Garamond"/>
          <w:sz w:val="22"/>
          <w:lang w:val="id-ID"/>
        </w:rPr>
        <w:t xml:space="preserve">. </w:t>
      </w:r>
      <w:bookmarkEnd w:id="2"/>
      <w:r w:rsidRPr="00B54ECC">
        <w:rPr>
          <w:rFonts w:ascii="Garamond" w:hAnsi="Garamond"/>
          <w:sz w:val="22"/>
          <w:lang w:val="id-ID"/>
        </w:rPr>
        <w:t>Learning about medicinal plants is also relevant in the context of human well-being. Students can understand how medicinal plants have been used in various cultures to treat diseases, improve the quality of life, and maintain holistic health</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{"citationItems":[{"id":"ITEM-1","itemData":{"DOI":"10.5688/ajpe6100","ISSN":"15536467","PMID":"29367772","abstract":"Objective. To create and implement a class in ethnopharmacology that would educate student pharmacists on folk medicine, including home remedies and native plants that are used as alternative medicinal sources; active components of medicinal plants including toxicity issues and the mechanism of action of beneficial compounds, such as catechins and other flavonoids; and nutraceuticals and poisonous plants. Methods. In this three-credit hour class, herbal remedies are investigated from the standpoints of medical efficacy, potential toxicities and drug interactions with prescribed medications. Class discussions are conducted on the usefulness of remedies, the attitudes of practitioners toward traditional remedy use and the risks of relying on herbal preparations. Each student prepares a 15-minute presentation on a disease state, which covers modern pharmaceuticals and herbal or folk remedy alternatives used in that disease. Special emphasis is given to drug-herb interactions. Results. The class has gained popularity among students and consistently fills within the first hour of computerized registration. Students agree that being educated in the benefits and potential toxicities of herbal products will better prepare them to counsel their patients who use these remedies. The elective has been offered 10 times since 2007. Anecdotal comments from our alumni indicate that they have found the information to be very useful in their practice environments. Conclusion. Providing our students with a greater understanding of herbal remedies is essential to prepare them for practice. By including both the uses and potential toxicities, the student pharmacist is able to counsel her patients from a standpoint of expertise on these self-administered remedies.","author":[{"dropping-particle":"","family":"Linger","given":"Rebecca S.","non-dropping-particle":"","parse-names":false,"suffix":""}],"container-title":"American Journal of Pharmaceutical Education","id":"ITEM-1","issue":"10","issued":{"date-parts":[["2017"]]},"page":"47-55","publisher":"Elsevier Masson SAS","title":"Design and implementation of an elective on the ethnopharmacology of appalachia for the PharmD curriculum","type":"article-journal","volume":"81"},"uris":["http://www.mendeley.com/documents/?uuid=dd4dc2fa-00ae-42d0-904a-97352d19a583"]}],"mendeley":{"formattedCitation":"(Linger, 2017)","plainTextFormattedCitation":"(Linger, 2017)","previouslyFormattedCitation":"(Linger,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(Linger, 2017)</w:t>
      </w:r>
      <w:r w:rsidRPr="00B54ECC">
        <w:rPr>
          <w:rFonts w:ascii="Garamond" w:hAnsi="Garamond"/>
          <w:sz w:val="22"/>
        </w:rPr>
        <w:fldChar w:fldCharType="end"/>
      </w:r>
      <w:r w:rsidRPr="00B54ECC">
        <w:rPr>
          <w:rFonts w:ascii="Garamond" w:hAnsi="Garamond"/>
          <w:sz w:val="22"/>
          <w:lang w:val="id-ID"/>
        </w:rPr>
        <w:t>. Thus, learning about medicinal plants is consistent with the developments in 21st-century education that emphasize knowledge-based skills.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lastRenderedPageBreak/>
        <w:t>Medicinal plants have been used for centuries for medical purposes</w:t>
      </w:r>
      <w:r w:rsidRPr="00B54ECC">
        <w:rPr>
          <w:rFonts w:ascii="Garamond" w:hAnsi="Garamond"/>
          <w:sz w:val="22"/>
        </w:rPr>
        <w:t xml:space="preserve"> </w:t>
      </w:r>
      <w:bookmarkStart w:id="3" w:name="_Hlk145844331"/>
      <w:r w:rsidRPr="00B54ECC">
        <w:rPr>
          <w:rFonts w:ascii="Garamond" w:hAnsi="Garamond"/>
          <w:sz w:val="22"/>
        </w:rPr>
        <w:fldChar w:fldCharType="begin" w:fldLock="1"/>
      </w:r>
      <w:r w:rsidRPr="00B54ECC">
        <w:rPr>
          <w:rFonts w:ascii="Garamond" w:hAnsi="Garamond"/>
          <w:sz w:val="22"/>
        </w:rPr>
        <w:instrText>ADDIN CSL_CITATION {"citationItems":[{"id":"ITEM-1","itemData":{"DOI":"10.1016/j.gecco.2021.e01752","ISSN":"23519894","abstract":"Indonesia is a global hotspot of plant diversity. The country contains medicinal plants that have immense value to the people and worldwide. However, climate change is affecting the distribution of medicinal plants in Indonesia. In this study, the future greenhouse gas emission scenarios of RCP4.5 and RCP8.5 for a mid-term future projection to 2050 and a long-term future projection to 2080 were used to simulate the effect of climate change upon medicinal plants distribution within Indonesia. In 2050 and 2080, under both RCP scenarios species richness is expected to decrease over more than half the current distribution area of medicinal plant species. Over half of the medicinal plant species populations will lose up to 80% of their distribution area. Medicinal plant species on the islands of Papua, Java, and Sulawesi are predicted to have the largest reduction in distribution area. In addition, two-thirds of species will lose rather than gain areas of suitable climate under the future climate scenarios. Twenty medicinal plant species are identified as potentially being the most threatened by climate change in the future and are therefore the highest priority for conservation actions within Indonesia. Using these results, we recommend areas and species suitable for long term in situ and ex situ conservation within Indonesia.","author":[{"dropping-particle":"","family":"Cahyaningsih","given":"Ria","non-dropping-particle":"","parse-names":false,"suffix":""},{"dropping-particle":"","family":"Phillips","given":"Jade","non-dropping-particle":"","parse-names":false,"suffix":""},{"dropping-particle":"","family":"Magos Brehm","given":"Joana","non-dropping-particle":"","parse-names":false,"suffix":""},{"dropping-particle":"","family":"Gaisberger","given":"Hannes","non-dropping-particle":"","parse-names":false,"suffix":""},{"dropping-particle":"","family":"Maxted","given":"Nigel","non-dropping-particle":"","parse-names":false,"suffix":""}],"container-title":"Global Ecology and Conservation","id":"ITEM-1","issue":"August","issued":{"date-parts":[["2021"]]},"page":"e01752","publisher":"Elsevier B.V.","title":"Climate change impact on medicinal plants in Indonesia","type":"article-journal","volume":"30"},"uris":["http://www.mendeley.com/documents/?uuid=932da466-8267-45dc-9243-d3a946e298eb"]},{"id":"ITEM-2","itemData":{"author":[{"dropping-particle":"","family":"Paryadi","given":"Deky","non-dropping-particle":"","parse-names":false,"suffix":""}],"chapter-number":"3","container-title":"Info Komoditi Tanaman Obat","editor":[{"dropping-particle":"","family":"Salim","given":"Zamroni","non-dropping-particle":"","parse-names":false,"suffix":""},{"dropping-particle":"","family":"Munadi","given":"Ernawati","non-dropping-particle":"","parse-names":false,"suffix":""}],"id":"ITEM-2","issued":{"date-parts":[["2017"]]},"page":"21-38","publisher":"Badan Pengkajian dan Pengembangan Perdagangan Kementerian Perdagangan Republik Indonesia","publisher-place":"Jakarta","title":"Konsumsi Tanaman Obat","type":"chapter"},"uris":["http://www.mendeley.com/documents/?uuid=88cc2956-6c07-4b63-a6da-472ba12c45f6"]},{"id":"ITEM-3","itemData":{"DOI":"10.36873/jjms.v1i1.134","abstract":"Tujan penelitian ini mendeskripsikan botani tanaman meniran hijau (Phyllanthus ninuri L), mengetahui kandungan fitokimia dan khasiatnya dalam tradisi pengobatan penyakit herpes zozter oleh masyarakat suku Dayak Ngaju Kalimantan Tengah. Jenis penelitian ini adalah deskriptif eksploratif dengan wawancara dan observasi. Wawancara dilakukan secara terstruktur dan semi terstruktur yang disertai dengan keterlibatan aktif peneliti dalam kegiatan masyarakat setempat / parcipatory ethnobotanica apraisa (PEA). Data tradisi pengobatan suku Dayak Ngaju dan kandungan fitokimia dianalisis deskriptif kualitatif, dan pengaruhnya terhadap kulit dengan membandingkan dengan referensi. Teknik keabsahan data dengan triangulasi / konfirmabilitas, dimana data diambil lebih dari 3 subjek informasi kunci dan non kunci yang berbeda. Hasil penelitian menunjukkan bahwa ekstrak daun meniran hijau dibuat ramuan dicampurkan dengan kasai tai handalai (kotoran cacing tanah) dipercaya mampu menyembuhkan penyakit kulit kayap ular (herpes zoster) dengan metode penggunaan sebagai obat luar serupa salep. Terdapat beberapa perlakuan khas menurut tradisi setempat, yaitu (1) pembuatan ramuan harus dilaksanakan menjelang senja, (2) ada doa tertentu saat pengobatan, (3) pengobatan selama 3 hari berturut-turut dan harus dimulai dari hari jumat, (4) pasien diharuskan membawa jarum. Kandungan ekstrak meniran hijau memiliki kontribusi besar dalam campuran racikan kasai tai handalai. Antrakuinon yang terkandung pada ekstrak meniran membantu merangsang meningkatnya imunitas tubuh dengan mendorong limfosit T aktif bekerja, zat quercetin  berperan sebagai anti-inflamasi, dan kandungan alkaloid pada meniran berperan sebagai anti-nociceptive. Kotoran cacing mengandung mineral berupa Zinc (Zn) yang juga memiliki peran besar dalam penyembuhan herpes zoster serta menutrisi kulit.","author":[{"dropping-particle":"","family":"Ervina","given":"Maharani Nida","non-dropping-particle":"","parse-names":false,"suffix":""},{"dropping-particle":"","family":"Mulyono","given":"Yatin","non-dropping-particle":"","parse-names":false,"suffix":""}],"container-title":"Jurnal Jejaring Matematika dan Sains","id":"ITEM-3","issue":"1","issued":{"date-parts":[["2019"]]},"page":"30-38","title":"Etnobotani Meniran Hijau (Phyllanthus ninuri L) Sebagai Potensi Obat Kayap Ular (Herpes Zoster) dalam Tradisi Suku Dayak Ngaju","type":"article-journal","volume":"1"},"uris":["http://www.mendeley.com/documents/?uuid=18badc31-25b9-4082-81a2-b20f8779ec78"]}],"mendeley":{"formattedCitation":"(Cahyaningsih, Phillips, et al., 2021; Ervina &amp; Mulyono, 2019; Paryadi, 2017)","plainTextFormattedCitation":"(Cahyaningsih, Phillips, et al., 2021; Ervina &amp; Mulyono, 2019; Paryadi, 2017)","previouslyFormattedCitation":"(Cahyaningsih, Phillips, et al., 2021; Ervina &amp; Mulyono, 2019; Paryadi,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(Cahyaningsih, Phillips, et al., 2021; Ervina &amp; Mulyono, 2019; Paryadi, 2017)</w:t>
      </w:r>
      <w:r w:rsidRPr="00B54ECC">
        <w:rPr>
          <w:rFonts w:ascii="Garamond" w:hAnsi="Garamond"/>
          <w:sz w:val="22"/>
        </w:rPr>
        <w:fldChar w:fldCharType="end"/>
      </w:r>
      <w:r w:rsidRPr="00B54ECC">
        <w:rPr>
          <w:rFonts w:ascii="Garamond" w:hAnsi="Garamond"/>
          <w:sz w:val="22"/>
          <w:lang w:val="id-ID"/>
        </w:rPr>
        <w:t xml:space="preserve">. </w:t>
      </w:r>
      <w:bookmarkEnd w:id="3"/>
      <w:r w:rsidRPr="00B54ECC">
        <w:rPr>
          <w:rFonts w:ascii="Garamond" w:hAnsi="Garamond"/>
          <w:sz w:val="22"/>
          <w:lang w:val="id-ID"/>
        </w:rPr>
        <w:t>Teaching students about medicinal plants can assist in understanding the fundamentals of medical science, such as organic chemistry, phytochemistry, and relevant extraction processes used in the production of natural medicines. Medicinal plants contain various chemical compounds that can be used to comprehend organic chemistry concepts, chemical reactions, and chemical analysis. Students can learn how these compounds are extracted, isolated, and identified</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{"citationItems":[{"id":"ITEM-1","itemData":{"DOI":"10.1088/1742-6596/1153/1/012132","ISSN":"17426596","abstract":"© Published under licence by IOP Publishing Ltd. This study aims to determine the relationship between character education and students critical thinking skills as the basis for success in the 21st century. The test instrument used is a critical thinking skill test using 4 items from the national exam, a character education questionnaire and Focus Group Discussion (FGD). The sample used is 99 students from all students in SMA Batik 2 Surakarta. The data obtained were analyzed using Bivariate Person to determine the content validity and Cronbach alpha to find out the reliability of the instrument. The test used to determine the relationship of character education with critical thinking skills using the Mann-Whitney U test. The analyzed result obtained content validity (Rbis&gt; 0,05) and instrument reliability is good enough with Alpha value 0,794 (&gt; 0,70). Test results show that there is a relationship between character education and critical thinking skills with Asymp Sig. 2-tailed by 0.011 (&lt;0.05).","author":[{"dropping-particle":"","family":"Affandy","given":"H.","non-dropping-particle":"","parse-names":false,"suffix":""},{"dropping-particle":"","family":"Aminah","given":"N.S.","non-dropping-particle":"","parse-names":false,"suffix":""},{"dropping-particle":"","family":"Supriyanto","given":"A.","non-dropping-particle":"","parse-names":false,"suffix":""}],"container-title":"Journal of Physics: Conference Series","id":"ITEM-1","issue":"1","issued":{"date-parts":[["2019"]]},"title":"The correlation of character education with critical thinking skills as an important attribute to success in the 21 &lt;sup&gt;st&lt;/sup&gt; century","type":"paper-conference","volume":"1153"},"uris":["http://www.mendeley.com/documents/?uuid=ef14e52e-5421-3d5a-ae2a-5cba1a2a7c10"]},{"id":"ITEM-2","itemData":{"DOI":"10.1088/1742-6596/1155/1/012065","ISSN":"17426596","abstract":"Understanding students' concepts can be achieved well, one of them is by applying Problem Based Learning. With Problem Based Learning, students can be actively involved in learning. This article discusses the Problem Based Learning that applies argumentation skills to improve understanding of the buoyant style concept of high school students. With the right learning steps in accordance with the syntax of Problem Based Learning, understanding of concepts will be achieved in students. Besides that, it involves students' skills in the cognitive, affective, and psychomotor domains. One of the skills analyzed is argumentation skills. In this study, the argumentation skill in problem-based learning is high, which is 0.639 which means that the relationship between the skills of argumentation in problem-based learning is very good. Each activity is expected to facilitate students to develop an understanding of students' scientific concepts such as observing, concluding, predicting, asking questions, constructing hypotheses, designing experiments, applying concepts, and communicating. Problem Based Learning with argumentation skills can improve students' understanding of concepts.","author":[{"dropping-particle":"","family":"Pratiwi","given":"S. N.","non-dropping-particle":"","parse-names":false,"suffix":""},{"dropping-particle":"","family":"Cari","given":"C.","non-dropping-particle":"","parse-names":false,"suffix":""},{"dropping-particle":"","family":"Aminah","given":"N. S.","non-dropping-particle":"","parse-names":false,"suffix":""},{"dropping-particle":"","family":"Affandy","given":"H.","non-dropping-particle":"","parse-names":false,"suffix":""}],"container-title":"Journal of Physics: Conference Series","id":"ITEM-2","issue":"1","issued":{"date-parts":[["2019"]]},"title":"Problem-based learning with argumentation skills to improve students' concept understanding","type":"article-journal","volume":"1155"},"uris":["http://www.mendeley.com/documents/?uuid=0e2d6b98-18e9-4cea-807d-7733dafdc7ef"]}],"mendeley":{"formattedCitation":"(Affandy et al., 2019; Pratiwi et al., 2019)","plainTextFormattedCitation":"(Affandy et al., 2019; Pratiwi et al., 2019)","previouslyFormattedCitation":"(Affandy et al., 2019; Pratiwi et al.,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(Affandy et al., 2019; Pratiwi et al., 2019)</w:t>
      </w:r>
      <w:r w:rsidRPr="00B54ECC">
        <w:rPr>
          <w:rFonts w:ascii="Garamond" w:hAnsi="Garamond"/>
          <w:sz w:val="22"/>
        </w:rPr>
        <w:fldChar w:fldCharType="end"/>
      </w:r>
      <w:r w:rsidRPr="00B54ECC">
        <w:rPr>
          <w:rFonts w:ascii="Garamond" w:hAnsi="Garamond"/>
          <w:sz w:val="22"/>
          <w:lang w:val="id-ID"/>
        </w:rPr>
        <w:t>. In the modern era, this understanding remains relevant in the development of new plant-based medicines and alternative treatments.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Indonesia is known as a living laboratory for global biodiversity, especially in terms of medicinal plants</w:t>
      </w:r>
      <w:r w:rsidRPr="00B54ECC">
        <w:rPr>
          <w:rFonts w:ascii="Garamond" w:hAnsi="Garamond"/>
          <w:sz w:val="22"/>
        </w:rPr>
        <w:t xml:space="preserve"> </w:t>
      </w:r>
      <w:bookmarkStart w:id="4" w:name="_Hlk145844362"/>
      <w:r w:rsidRPr="00B54ECC">
        <w:rPr>
          <w:rFonts w:ascii="Garamond" w:hAnsi="Garamond"/>
          <w:sz w:val="22"/>
        </w:rPr>
        <w:fldChar w:fldCharType="begin" w:fldLock="1"/>
      </w:r>
      <w:r w:rsidRPr="00B54ECC">
        <w:rPr>
          <w:rFonts w:ascii="Garamond" w:hAnsi="Garamond"/>
          <w:sz w:val="22"/>
        </w:rPr>
        <w:instrText>ADDIN CSL_CITATION {"citationItems":[{"id":"ITEM-1","itemData":{"DOI":"10.1016/j.gecco.2021.e01752","ISSN":"23519894","abstract":"Indonesia is a global hotspot of plant diversity. The country contains medicinal plants that have immense value to the people and worldwide. However, climate change is affecting the distribution of medicinal plants in Indonesia. In this study, the future greenhouse gas emission scenarios of RCP4.5 and RCP8.5 for a mid-term future projection to 2050 and a long-term future projection to 2080 were used to simulate the effect of climate change upon medicinal plants distribution within Indonesia. In 2050 and 2080, under both RCP scenarios species richness is expected to decrease over more than half the current distribution area of medicinal plant species. Over half of the medicinal plant species populations will lose up to 80% of their distribution area. Medicinal plant species on the islands of Papua, Java, and Sulawesi are predicted to have the largest reduction in distribution area. In addition, two-thirds of species will lose rather than gain areas of suitable climate under the future climate scenarios. Twenty medicinal plant species are identified as potentially being the most threatened by climate change in the future and are therefore the highest priority for conservation actions within Indonesia. Using these results, we recommend areas and species suitable for long term in situ and ex situ conservation within Indonesia.","author":[{"dropping-particle":"","family":"Cahyaningsih","given":"Ria","non-dropping-particle":"","parse-names":false,"suffix":""},{"dropping-particle":"","family":"Phillips","given":"Jade","non-dropping-particle":"","parse-names":false,"suffix":""},{"dropping-particle":"","family":"Magos Brehm","given":"Joana","non-dropping-particle":"","parse-names":false,"suffix":""},{"dropping-particle":"","family":"Gaisberger","given":"Hannes","non-dropping-particle":"","parse-names":false,"suffix":""},{"dropping-particle":"","family":"Maxted","given":"Nigel","non-dropping-particle":"","parse-names":false,"suffix":""}],"container-title":"Global Ecology and Conservation","id":"ITEM-1","issue":"August","issued":{"date-parts":[["2021"]]},"page":"e01752","publisher":"Elsevier B.V.","title":"Climate change impact on medicinal plants in Indonesia","type":"article-journal","volume":"30"},"uris":["http://www.mendeley.com/documents/?uuid=932da466-8267-45dc-9243-d3a946e298eb"]},{"id":"ITEM-2","itemData":{"author":[{"dropping-particle":"","family":"Paryadi","given":"Deky","non-dropping-particle":"","parse-names":false,"suffix":""}],"chapter-number":"3","container-title":"Info Komoditi Tanaman Obat","editor":[{"dropping-particle":"","family":"Salim","given":"Zamroni","non-dropping-particle":"","parse-names":false,"suffix":""},{"dropping-particle":"","family":"Munadi","given":"Ernawati","non-dropping-particle":"","parse-names":false,"suffix":""}],"id":"ITEM-2","issued":{"date-parts":[["2017"]]},"page":"21-38","publisher":"Badan Pengkajian dan Pengembangan Perdagangan Kementerian Perdagangan Republik Indonesia","publisher-place":"Jakarta","title":"Konsumsi Tanaman Obat","type":"chapter"},"uris":["http://www.mendeley.com/documents/?uuid=88cc2956-6c07-4b63-a6da-472ba12c45f6"]},{"id":"ITEM-3","itemData":{"DOI":"10.36873/jjms.v1i1.134","abstract":"Tujan penelitian ini mendeskripsikan botani tanaman meniran hijau (Phyllanthus ninuri L), mengetahui kandungan fitokimia dan khasiatnya dalam tradisi pengobatan penyakit herpes zozter oleh masyarakat suku Dayak Ngaju Kalimantan Tengah. Jenis penelitian ini adalah deskriptif eksploratif dengan wawancara dan observasi. Wawancara dilakukan secara terstruktur dan semi terstruktur yang disertai dengan keterlibatan aktif peneliti dalam kegiatan masyarakat setempat / parcipatory ethnobotanica apraisa (PEA). Data tradisi pengobatan suku Dayak Ngaju dan kandungan fitokimia dianalisis deskriptif kualitatif, dan pengaruhnya terhadap kulit dengan membandingkan dengan referensi. Teknik keabsahan data dengan triangulasi / konfirmabilitas, dimana data diambil lebih dari 3 subjek informasi kunci dan non kunci yang berbeda. Hasil penelitian menunjukkan bahwa ekstrak daun meniran hijau dibuat ramuan dicampurkan dengan kasai tai handalai (kotoran cacing tanah) dipercaya mampu menyembuhkan penyakit kulit kayap ular (herpes zoster) dengan metode penggunaan sebagai obat luar serupa salep. Terdapat beberapa perlakuan khas menurut tradisi setempat, yaitu (1) pembuatan ramuan harus dilaksanakan menjelang senja, (2) ada doa tertentu saat pengobatan, (3) pengobatan selama 3 hari berturut-turut dan harus dimulai dari hari jumat, (4) pasien diharuskan membawa jarum. Kandungan ekstrak meniran hijau memiliki kontribusi besar dalam campuran racikan kasai tai handalai. Antrakuinon yang terkandung pada ekstrak meniran membantu merangsang meningkatnya imunitas tubuh dengan mendorong limfosit T aktif bekerja, zat quercetin  berperan sebagai anti-inflamasi, dan kandungan alkaloid pada meniran berperan sebagai anti-nociceptive. Kotoran cacing mengandung mineral berupa Zinc (Zn) yang juga memiliki peran besar dalam penyembuhan herpes zoster serta menutrisi kulit.","author":[{"dropping-particle":"","family":"Ervina","given":"Maharani Nida","non-dropping-particle":"","parse-names":false,"suffix":""},{"dropping-particle":"","family":"Mulyono","given":"Yatin","non-dropping-particle":"","parse-names":false,"suffix":""}],"container-title":"Jurnal Jejaring Matematika dan Sains","id":"ITEM-3","issue":"1","issued":{"date-parts":[["2019"]]},"page":"30-38","title":"Etnobotani Meniran Hijau (Phyllanthus ninuri L) Sebagai Potensi Obat Kayap Ular (Herpes Zoster) dalam Tradisi Suku Dayak Ngaju","type":"article-journal","volume":"1"},"uris":["http://www.mendeley.com/documents/?uuid=18badc31-25b9-4082-81a2-b20f8779ec78"]}],"mendeley":{"formattedCitation":"(Cahyaningsih, Phillips, et al., 2021; Ervina &amp; Mulyono, 2019; Paryadi, 2017)","plainTextFormattedCitation":"(Cahyaningsih, Phillips, et al., 2021; Ervina &amp; Mulyono, 2019; Paryadi, 2017)","previouslyFormattedCitation":"(Cahyaningsih, Phillips, et al., 2021; Ervina &amp; Mulyono, 2019; Paryadi,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(Cahyaningsih, Phillips, et al., 2021; Ervina &amp; Mulyono, 2019; Paryadi, 2017)</w:t>
      </w:r>
      <w:r w:rsidRPr="00B54ECC">
        <w:rPr>
          <w:rFonts w:ascii="Garamond" w:hAnsi="Garamond"/>
          <w:sz w:val="22"/>
        </w:rPr>
        <w:fldChar w:fldCharType="end"/>
      </w:r>
      <w:bookmarkEnd w:id="4"/>
      <w:r w:rsidRPr="00B54ECC">
        <w:rPr>
          <w:rFonts w:ascii="Garamond" w:hAnsi="Garamond"/>
          <w:sz w:val="22"/>
          <w:lang w:val="id-ID"/>
        </w:rPr>
        <w:t xml:space="preserve">. Indonesia possesses approximately 30,000 types of plants with potential medicinal </w:t>
      </w:r>
      <w:bookmarkStart w:id="5" w:name="_Hlk145844440"/>
      <w:r w:rsidRPr="00B54ECC">
        <w:rPr>
          <w:rFonts w:ascii="Garamond" w:hAnsi="Garamond"/>
          <w:sz w:val="22"/>
          <w:lang w:val="id-ID"/>
        </w:rPr>
        <w:t>properties</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{"citationItems":[{"id":"ITEM-1","itemData":{"ISSN":"2722-0257","abstract":"One of the weaknesses in introducing ethnobiology in the learning process is the lack of innovative learning media used. Based on this, it is necessary to develop an interesting medium in introducing ethnobiological research in learning. One of the innovative media that can be used is comics. The purpose of this research is to produce ethnobiological comics, especially ethnobotany which have good quality based on the results of expert judgment and field trials. This research is mixed-method research with two stages, namely the implementation of a project-based learning model between students who take local potential-based learning media development courses, and students who take ethnobotany courses. The next stage is the stage of media development, starting from collecting data from students who take ethnobotany courses, then the results of the research are developed into comics by students who take local potentialbased learning media development courses. The results of this study obtained data that the topics chosen by the students are poison plants for the hunting of the Dayak Lundayeh Tribe, medicinal plants of the Tidung Tribe, ethnopteridology of the Madura Tribe, and traditional ceremonial plants of the Tidung Tribe. The results of the comics that were developed based on expert judgment were valid. Meanwhile, the results of the field trial were feasible.","author":[{"dropping-particle":"","family":"Abrori","given":"Fadhlan Muchlas","non-dropping-particle":"","parse-names":false,"suffix":""}],"container-title":"Seminar Nasional Perhimpunan Masyarakat Etnobiologi Indonesia","id":"ITEM-1","issued":{"date-parts":[["2021"]]},"page":"71-77","title":"Ketika Komikus Bertemu Etnobotanis: Cross-Project Pengembangan Komik Etnobiologi","type":"paper-conference"},"uris":["http://www.mendeley.com/documents/?uuid=ed80227c-81bb-4bfe-b63f-29c15af43c9a"]},{"id":"ITEM-2","itemData":{"DOI":"10.1016/j.hermed.2017.06.004","ISSN":"22108041","abstract":"Tithonia diversifolia, Cyclea barbata, Tinospora crispa, Arcangelisia flava, Pycnarrhena cauliflora are plants used in Indonesia for the traditional treatment of malaria. In the search for new antiparasitic drugs, the parts traditionally used of these 5 plants were extracted with ethanol and then fractionated with various solvents and evaluated in vitro against Plasmodium falciparum and also against Babesia divergens and Leishmania infantum. Seven crude plant extracts out of 25 tested displayed high antimalarial activities with IC50 &lt; 5 μg/ml and in the cases of some of them an interesting selectivity regarding their cytotoxicity against mammalian cells. A. flava appeared to be the most promising antiplasmodial plant with the highest antiplasmodial activity (IC50 values less than 3 μg/ml) and the weakest cytotoxicity. By contrast, only P. cauliflora radix, through its dichloromethane and methanol fractions also demonstrated a high activity against L. infantum, with IC50 values around 3 μg/ml; their high selectivity index, especially on VERO cells, hypothesises a specific parasiticidal action. Moreover, for all the extracts showing antiplasmodial activity, a positive correlation was demonstrated with antibabesial activity, suggesting that these antiplasmodial extracts could be a potential source of antibabesial compounds. These preliminary results confirm the antiplasmodial interest of some of these plants used in traditional medicine but also their effects on leishmaniasis and babesiosis. Ongoing phytochemical investigations should allow identification of the chemical series responsible for these activities.","author":[{"dropping-particle":"","family":"Ramadani","given":"Arba P.","non-dropping-particle":"","parse-names":false,"suffix":""},{"dropping-particle":"","family":"Paloque","given":"Lucie","non-dropping-particle":"","parse-names":false,"suffix":""},{"dropping-particle":"","family":"Belda","given":"Hugo","non-dropping-particle":"","parse-names":false,"suffix":""},{"dropping-particle":"","family":"Tamhid","given":"Hady Anshory","non-dropping-particle":"","parse-names":false,"suffix":""},{"dropping-particle":"","family":"Masriani","given":"","non-dropping-particle":"","parse-names":false,"suffix":""},{"dropping-particle":"","family":"Jumina","given":"","non-dropping-particle":"","parse-names":false,"suffix":""},{"dropping-particle":"","family":"Augereau","given":"Jean Michel","non-dropping-particle":"","parse-names":false,"suffix":""},{"dropping-particle":"","family":"Valentin","given":"Alexis","non-dropping-particle":"","parse-names":false,"suffix":""},{"dropping-particle":"","family":"Wijayanti","given":"Mahardika Agus","non-dropping-particle":"","parse-names":false,"suffix":""},{"dropping-particle":"","family":"Mustofa","given":"","non-dropping-particle":"","parse-names":false,"suffix":""},{"dropping-particle":"","family":"Benoit-Vical","given":"Françoise","non-dropping-particle":"","parse-names":false,"suffix":""}],"container-title":"Journal of Herbal Medicine","id":"ITEM-2","issue":"May 2016","issued":{"date-parts":[["2018"]]},"page":"46-52","title":"Antiprotozoal properties of Indonesian medicinal plant extracts","type":"article-journal","volume":"11"},"uris":["http://www.mendeley.com/documents/?uuid=9d4b8512-8752-41b1-8fcf-e936ab338892"]},{"id":"ITEM-3","itemData":{"DOI":"10.1016/j.gecco.2021.e01752","ISSN":"23519894","abstract":"Indonesia is a global hotspot of plant diversity. The country contains medicinal plants that have immense value to the people and worldwide. However, climate change is affecting the distribution of medicinal plants in Indonesia. In this study, the future greenhouse gas emission scenarios of RCP4.5 and RCP8.5 for a mid-term future projection to 2050 and a long-term future projection to 2080 were used to simulate the effect of climate change upon medicinal plants distribution within Indonesia. In 2050 and 2080, under both RCP scenarios species richness is expected to decrease over more than half the current distribution area of medicinal plant species. Over half of the medicinal plant species populations will lose up to 80% of their distribution area. Medicinal plant species on the islands of Papua, Java, and Sulawesi are predicted to have the largest reduction in distribution area. In addition, two-thirds of species will lose rather than gain areas of suitable climate under the future climate scenarios. Twenty medicinal plant species are identified as potentially being the most threatened by climate change in the future and are therefore the highest priority for conservation actions within Indonesia. Using these results, we recommend areas and species suitable for long term in situ and ex situ conservation within Indonesia.","author":[{"dropping-particle":"","family":"Cahyaningsih","given":"Ria","non-dropping-particle":"","parse-names":false,"suffix":""},{"dropping-particle":"","family":"Phillips","given":"Jade","non-dropping-particle":"","parse-names":false,"suffix":""},{"dropping-particle":"","family":"Magos Brehm","given":"Joana","non-dropping-particle":"","parse-names":false,"suffix":""},{"dropping-particle":"","family":"Gaisberger","given":"Hannes","non-dropping-particle":"","parse-names":false,"suffix":""},{"dropping-particle":"","family":"Maxted","given":"Nigel","non-dropping-particle":"","parse-names":false,"suffix":""}],"container-title":"Global Ecology and Conservation","id":"ITEM-3","issue":"August","issued":{"date-parts":[["2021"]]},"page":"e01752","publisher":"Elsevier B.V.","title":"Climate change impact on medicinal plants in Indonesia","type":"article-journal","volume":"30"},"uris":["http://www.mendeley.com/documents/?uuid=932da466-8267-45dc-9243-d3a946e298eb"]}],"mendeley":{"formattedCitation":"(Abrori, 2021; Cahyaningsih, Phillips, et al., 2021; Ramadani et al., 2018)","plainTextFormattedCitation":"(Abrori, 2021; Cahyaningsih, Phillips, et al., 2021; Ramadani et al., 2018)","previouslyFormattedCitation":"(Abrori, 2021; Cahyaningsih, Phillips, et al., 2021; Ramadani et al., 2018)"},"properties":{"noteIndex":0},"schema":"https://github.com/citation-style-language/schema/raw/master/csl-citation.json"}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(Abrori, 2021; Cahyaningsih, Phillips, et al., 2021; Ramadani et al., 2018)</w:t>
      </w:r>
      <w:r w:rsidRPr="00B54ECC">
        <w:rPr>
          <w:rFonts w:ascii="Garamond" w:hAnsi="Garamond"/>
          <w:sz w:val="22"/>
        </w:rPr>
        <w:fldChar w:fldCharType="end"/>
      </w:r>
      <w:bookmarkEnd w:id="5"/>
      <w:r w:rsidRPr="00B54ECC">
        <w:rPr>
          <w:rFonts w:ascii="Garamond" w:hAnsi="Garamond"/>
          <w:sz w:val="22"/>
          <w:lang w:val="id-ID"/>
        </w:rPr>
        <w:t>. This number encompasses a significant portion of the total 40,000 known medicinal plant species worldwide</w:t>
      </w:r>
      <w:r w:rsidRPr="00B54ECC">
        <w:rPr>
          <w:rFonts w:ascii="Garamond" w:hAnsi="Garamond"/>
          <w:sz w:val="22"/>
        </w:rPr>
        <w:t xml:space="preserve"> </w:t>
      </w:r>
      <w:bookmarkStart w:id="6" w:name="_Hlk145844486"/>
      <w:r w:rsidRPr="00B54ECC">
        <w:rPr>
          <w:rFonts w:ascii="Garamond" w:hAnsi="Garamond"/>
          <w:sz w:val="22"/>
        </w:rPr>
        <w:fldChar w:fldCharType="begin" w:fldLock="1"/>
      </w:r>
      <w:r w:rsidRPr="00B54ECC">
        <w:rPr>
          <w:rFonts w:ascii="Garamond" w:hAnsi="Garamond"/>
          <w:sz w:val="22"/>
        </w:rPr>
        <w:instrText>ADDIN CSL_CITATION {"citationItems":[{"id":"ITEM-1","itemData":{"DOI":"10.1016/j.gecco.2021.e01459","ISSN":"23519894","abstract":"Indonesia is a country rich in medicinal plant biodiversity. The conservation and sustainable use of such species in Indonesia are critical because of incipient population growth, changing land usage, forest clearance, and climate change in a country where most of the population depends on traditional medicines for their health care and wellbeing. Identifying the conservation gap is crucial for planning the genetic conservation of Indonesian priority medicinal plant species. These are native plants with limited distribution, wild harvested (often to destruction) and/or included on the IUCN Red List, CITES appendices, and national legislation. Ecogeographic data were collated from online database, herbarium specimens and living collections and then subjected to in situ and ex situ gap analysis. The results of this gap analysis support our recommendation that in situ active conservation reserves for priority plants be established in areas of Indonesia with the greatest diversity of species. Medicinal plant species with no occurrence points in Indonesia or less than five seed samples are needed to be surveyed further. Other recommendations for active in situ and ex situ conservation are provided in this article which will help to ensure conservation of medicinal plants in Indonesia.","author":[{"dropping-particle":"","family":"Cahyaningsih","given":"Ria","non-dropping-particle":"","parse-names":false,"suffix":""},{"dropping-particle":"","family":"Magos Brehm","given":"Joana","non-dropping-particle":"","parse-names":false,"suffix":""},{"dropping-particle":"","family":"Maxted","given":"Nigel","non-dropping-particle":"","parse-names":false,"suffix":""}],"container-title":"Global Ecology and Conservation","id":"ITEM-1","issued":{"date-parts":[["2021"]]},"page":"e01459","publisher":"Elsevier Ltd","title":"Gap analysis of Indonesian priority medicinal plant species as part of their conservation planning","type":"article-journal","volume":"26"},"uris":["http://www.mendeley.com/documents/?uuid=79610569-b4d9-4b9f-8b0f-296a6e17ca35"]},{"id":"ITEM-2","itemData":{"DOI":"10.1016/j.heliyon.2020.e05562","ISSN":"24058440","abstract":"The residents of the Eastern part of Indonesia, specifically, Papua and West Papua provinces, are dependent on traditional medicines with the use of plants, which includes treating malaria. However, there are limited information on the diversity of medicinal plants in Papua Island. Hence, the Indonesian Ministry of Health put together a database of all the natural plant-based raw materials in Indonesia, to address part of the issues encountered as a result of the limited information on the diversity of plants. Based on this background, the aim of the research was to analyze the information on medicinal plants used by the traditional healers in Papua Island based on the results of research on medicinal plants and Jamu (RISTOJA), especially in treating malaria. Data were obtained through ethnomedicine research conducted in 2012 and 2017 involving 54 ethnicities in Papua. Based on the results, 72 species of medicinal plants from 67 genera and 40 families were used traditionally in treating malaria on Papua Island. The most common medicinal plants used as traditional antimalarial concoction are Alstonia scholaris (L.) R. Br., Carica papaya L., Andrographis paniculata (Burm. f.) Nees, and Physalis minima L. Similar to other ethnobotany research, the leaves were the most used plant parts in preparing the various traditional concoctions.","author":[{"dropping-particle":"","family":"Budiarti","given":"Mery","non-dropping-particle":"","parse-names":false,"suffix":""},{"dropping-particle":"","family":"Maruzy","given":"Anshary","non-dropping-particle":"","parse-names":false,"suffix":""},{"dropping-particle":"","family":"Mujahid","given":"Rohmat","non-dropping-particle":"","parse-names":false,"suffix":""},{"dropping-particle":"","family":"Sari","given":"Aniska Novita","non-dropping-particle":"","parse-names":false,"suffix":""},{"dropping-particle":"","family":"Jokopriyambodo","given":"Wahyu","non-dropping-particle":"","parse-names":false,"suffix":""},{"dropping-particle":"","family":"Widayat","given":"Tri","non-dropping-particle":"","parse-names":false,"suffix":""},{"dropping-particle":"","family":"Wahyono","given":"Slamet","non-dropping-particle":"","parse-names":false,"suffix":""}],"container-title":"Heliyon","id":"ITEM-2","issue":"12","issued":{"date-parts":[["2020"]]},"title":"The use of antimalarial plants as traditional treatment in Papua Island, Indonesia","type":"article-journal","volume":"6"},"uris":["http://www.mendeley.com/documents/?uuid=da7d934c-096e-4d03-a4b7-5c7dc8f36121"]},{"id":"ITEM-3","itemData":{"DOI":"10.1016/j.hermed.2017.06.004","ISSN":"22108041","abstract":"Tithonia diversifolia, Cyclea barbata, Tinospora crispa, Arcangelisia flava, Pycnarrhena cauliflora are plants used in Indonesia for the traditional treatment of malaria. In the search for new antiparasitic drugs, the parts traditionally used of these 5 plants were extracted with ethanol and then fractionated with various solvents and evaluated in vitro against Plasmodium falciparum and also against Babesia divergens and Leishmania infantum. Seven crude plant extracts out of 25 tested displayed high antimalarial activities with IC50 &lt; 5 μg/ml and in the cases of some of them an interesting selectivity regarding their cytotoxicity against mammalian cells. A. flava appeared to be the most promising antiplasmodial plant with the highest antiplasmodial activity (IC50 values less than 3 μg/ml) and the weakest cytotoxicity. By contrast, only P. cauliflora radix, through its dichloromethane and methanol fractions also demonstrated a high activity against L. infantum, with IC50 values around 3 μg/ml; their high selectivity index, especially on VERO cells, hypothesises a specific parasiticidal action. Moreover, for all the extracts showing antiplasmodial activity, a positive correlation was demonstrated with antibabesial activity, suggesting that these antiplasmodial extracts could be a potential source of antibabesial compounds. These preliminary results confirm the antiplasmodial interest of some of these plants used in traditional medicine but also their effects on leishmaniasis and babesiosis. Ongoing phytochemical investigations should allow identification of the chemical series responsible for these activities.","author":[{"dropping-particle":"","family":"Ramadani","given":"Arba P.","non-dropping-particle":"","parse-names":false,"suffix":""},{"dropping-particle":"","family":"Paloque","given":"Lucie","non-dropping-particle":"","parse-names":false,"suffix":""},{"dropping-particle":"","family":"Belda","given":"Hugo","non-dropping-particle":"","parse-names":false,"suffix":""},{"dropping-particle":"","family":"Tamhid","given":"Hady Anshory","non-dropping-particle":"","parse-names":false,"suffix":""},{"dropping-particle":"","family":"Masriani","given":"","non-dropping-particle":"","parse-names":false,"suffix":""},{"dropping-particle":"","family":"Jumina","given":"","non-dropping-particle":"","parse-names":false,"suffix":""},{"dropping-particle":"","family":"Augereau","given":"Jean Michel","non-dropping-particle":"","parse-names":false,"suffix":""},{"dropping-particle":"","family":"Valentin","given":"Alexis","non-dropping-particle":"","parse-names":false,"suffix":""},{"dropping-particle":"","family":"Wijayanti","given":"Mahardika Agus","non-dropping-particle":"","parse-names":false,"suffix":""},{"dropping-particle":"","family":"Mustofa","given":"","non-dropping-particle":"","parse-names":false,"suffix":""},{"dropping-particle":"","family":"Benoit-Vical","given":"Françoise","non-dropping-particle":"","parse-names":false,"suffix":""}],"container-title":"Journal of Herbal Medicine","id":"ITEM-3","issue":"May 2016","issued":{"date-parts":[["2018"]]},"page":"46-52","title":"Antiprotozoal properties of Indonesian medicinal plant extracts","type":"article-journal","volume":"11"},"uris":["http://www.mendeley.com/documents/?uuid=9d4b8512-8752-41b1-8fcf-e936ab338892"]}],"mendeley":{"formattedCitation":"(Budiarti et al., 2020; Cahyaningsih, Magos Brehm, et al., 2021; Ramadani et al., 2018)","plainTextFormattedCitation":"(Budiarti et al., 2020; Cahyaningsih, Magos Brehm, et al., 2021; Ramadani et al., 2018)","previouslyFormattedCitation":"(Budiarti et al., 2020; Cahyaningsih, Magos Brehm, et al., 2021; Ramadani et al., 2018)"},"properties":{"noteIndex":0},"schema":"https://github.com/citation-style-language/schema/raw/master/csl-citation.json"}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(Budiarti et al., 2020; Cahyaningsih, Magos Brehm, et al., 2021; Ramadani et al., 2018)</w:t>
      </w:r>
      <w:r w:rsidRPr="00B54ECC">
        <w:rPr>
          <w:rFonts w:ascii="Garamond" w:hAnsi="Garamond"/>
          <w:sz w:val="22"/>
        </w:rPr>
        <w:fldChar w:fldCharType="end"/>
      </w:r>
      <w:bookmarkEnd w:id="6"/>
      <w:r w:rsidRPr="00B54ECC">
        <w:rPr>
          <w:rFonts w:ascii="Garamond" w:hAnsi="Garamond"/>
          <w:sz w:val="22"/>
          <w:lang w:val="id-ID"/>
        </w:rPr>
        <w:t>. The diverse biodiversity of medicinal plants in Indonesia creates immense potential for research and the development of natural medicines.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Indonesia has a long history of using medicinal plants in traditional medicine. Knowledge about the use of medicinal plants has been passed down from generation to generation</w:t>
      </w:r>
      <w:r w:rsidRPr="00B54ECC">
        <w:rPr>
          <w:rFonts w:ascii="Garamond" w:hAnsi="Garamond"/>
          <w:sz w:val="22"/>
        </w:rPr>
        <w:t xml:space="preserve"> </w:t>
      </w:r>
      <w:bookmarkStart w:id="7" w:name="_Hlk145844514"/>
      <w:r w:rsidRPr="00B54ECC">
        <w:rPr>
          <w:rFonts w:ascii="Garamond" w:hAnsi="Garamond"/>
          <w:sz w:val="22"/>
        </w:rPr>
        <w:fldChar w:fldCharType="begin" w:fldLock="1"/>
      </w:r>
      <w:r w:rsidRPr="00B54ECC">
        <w:rPr>
          <w:rFonts w:ascii="Garamond" w:hAnsi="Garamond"/>
          <w:sz w:val="22"/>
        </w:rPr>
        <w:instrText>ADDIN CSL_CITATION {"citationItems":[{"id":"ITEM-1","itemData":{"ISSN":"2443-3616","author":[{"dropping-particle":"","family":"Arfianawati","given":"Siti","non-dropping-particle":"","parse-names":false,"suffix":""},{"dropping-particle":"","family":"Sudarmin","given":"Mr","non-dropping-particle":"","parse-names":false,"suffix":""},{"dropping-particle":"","family":"Sumarni","given":"Woro","non-dropping-particle":"","parse-names":false,"suffix":""}],"container-title":"Jurnal Pengajaran MIPA","id":"ITEM-1","issue":"1","issued":{"date-parts":[["2016"]]},"page":"46-51","title":"Model pembelajaran kimia berbasis etnosains untuk meningkatkan kemampuan berpikir kritis siswa","type":"article-journal","volume":"21"},"uris":["http://www.mendeley.com/documents/?uuid=11ed3c11-abf4-45a3-82ce-e9e6e3928ea2"]}],"mendeley":{"formattedCitation":"(Arfianawati et al., 2016)","plainTextFormattedCitation":"(Arfianawati et al., 2016)","previouslyFormattedCitation":"(Arfianawati et al., 2016)"},"properties":{"noteIndex":0},"schema":"https://github.com/citation-style-language/schema/raw/master/csl-citation.json"}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(Arfianawati et al., 2016)</w:t>
      </w:r>
      <w:r w:rsidRPr="00B54ECC">
        <w:rPr>
          <w:rFonts w:ascii="Garamond" w:hAnsi="Garamond"/>
          <w:sz w:val="22"/>
        </w:rPr>
        <w:fldChar w:fldCharType="end"/>
      </w:r>
      <w:bookmarkEnd w:id="7"/>
      <w:r w:rsidRPr="00B54ECC">
        <w:rPr>
          <w:rFonts w:ascii="Garamond" w:hAnsi="Garamond"/>
          <w:sz w:val="22"/>
          <w:lang w:val="id-ID"/>
        </w:rPr>
        <w:t>. The utilization of medicinal plants in Indonesia has become an integral part of the culture and traditions of its people</w:t>
      </w:r>
      <w:r w:rsidRPr="00B54ECC">
        <w:rPr>
          <w:rFonts w:ascii="Garamond" w:hAnsi="Garamond"/>
          <w:sz w:val="22"/>
        </w:rPr>
        <w:t xml:space="preserve"> </w:t>
      </w:r>
      <w:bookmarkStart w:id="8" w:name="_Hlk145844545"/>
      <w:r w:rsidRPr="00B54ECC">
        <w:rPr>
          <w:rFonts w:ascii="Garamond" w:hAnsi="Garamond"/>
          <w:sz w:val="22"/>
        </w:rPr>
        <w:fldChar w:fldCharType="begin" w:fldLock="1"/>
      </w:r>
      <w:r w:rsidRPr="00B54ECC">
        <w:rPr>
          <w:rFonts w:ascii="Garamond" w:hAnsi="Garamond"/>
          <w:sz w:val="22"/>
        </w:rPr>
        <w:instrText>ADDIN CSL_CITATION {"citationItems":[{"id":"ITEM-1","itemData":{"DOI":"10.1016/j.heliyon.2020.e05562","ISSN":"24058440","abstract":"The residents of the Eastern part of Indonesia, specifically, Papua and West Papua provinces, are dependent on traditional medicines with the use of plants, which includes treating malaria. However, there are limited information on the diversity of medicinal plants in Papua Island. Hence, the Indonesian Ministry of Health put together a database of all the natural plant-based raw materials in Indonesia, to address part of the issues encountered as a result of the limited information on the diversity of plants. Based on this background, the aim of the research was to analyze the information on medicinal plants used by the traditional healers in Papua Island based on the results of research on medicinal plants and Jamu (RISTOJA), especially in treating malaria. Data were obtained through ethnomedicine research conducted in 2012 and 2017 involving 54 ethnicities in Papua. Based on the results, 72 species of medicinal plants from 67 genera and 40 families were used traditionally in treating malaria on Papua Island. The most common medicinal plants used as traditional antimalarial concoction are Alstonia scholaris (L.) R. Br., Carica papaya L., Andrographis paniculata (Burm. f.) Nees, and Physalis minima L. Similar to other ethnobotany research, the leaves were the most used plant parts in preparing the various traditional concoctions.","author":[{"dropping-particle":"","family":"Budiarti","given":"Mery","non-dropping-particle":"","parse-names":false,"suffix":""},{"dropping-particle":"","family":"Maruzy","given":"Anshary","non-dropping-particle":"","parse-names":false,"suffix":""},{"dropping-particle":"","family":"Mujahid","given":"Rohmat","non-dropping-particle":"","parse-names":false,"suffix":""},{"dropping-particle":"","family":"Sari","given":"Aniska Novita","non-dropping-particle":"","parse-names":false,"suffix":""},{"dropping-particle":"","family":"Jokopriyambodo","given":"Wahyu","non-dropping-particle":"","parse-names":false,"suffix":""},{"dropping-particle":"","family":"Widayat","given":"Tri","non-dropping-particle":"","parse-names":false,"suffix":""},{"dropping-particle":"","family":"Wahyono","given":"Slamet","non-dropping-particle":"","parse-names":false,"suffix":""}],"container-title":"Heliyon","id":"ITEM-1","issue":"12","issued":{"date-parts":[["2020"]]},"title":"The use of antimalarial plants as traditional treatment in Papua Island, Indonesia","type":"article-journal","volume":"6"},"uris":["http://www.mendeley.com/documents/?uuid=da7d934c-096e-4d03-a4b7-5c7dc8f36121"]}],"mendeley":{"formattedCitation":"(Budiarti et al., 2020)","plainTextFormattedCitation":"(Budiarti et al., 2020)","previouslyFormattedCitation":"(Budiarti et al., 2020)"},"properties":{"noteIndex":0},"schema":"https://github.com/citation-style-language/schema/raw/master/csl-citation.json"}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(Budiarti et al., 2020)</w:t>
      </w:r>
      <w:r w:rsidRPr="00B54ECC">
        <w:rPr>
          <w:rFonts w:ascii="Garamond" w:hAnsi="Garamond"/>
          <w:sz w:val="22"/>
        </w:rPr>
        <w:fldChar w:fldCharType="end"/>
      </w:r>
      <w:r w:rsidRPr="00B54ECC">
        <w:rPr>
          <w:rFonts w:ascii="Garamond" w:hAnsi="Garamond"/>
          <w:sz w:val="22"/>
          <w:lang w:val="id-ID"/>
        </w:rPr>
        <w:t xml:space="preserve">. </w:t>
      </w:r>
      <w:bookmarkEnd w:id="8"/>
      <w:r w:rsidRPr="00B54ECC">
        <w:rPr>
          <w:rFonts w:ascii="Garamond" w:hAnsi="Garamond"/>
          <w:sz w:val="22"/>
          <w:lang w:val="id-ID"/>
        </w:rPr>
        <w:t>Traditional healing with "jamu," herbal concoctions, and natural remedies has been employed for centuries to address various health issues</w:t>
      </w:r>
      <w:r w:rsidRPr="00B54ECC">
        <w:rPr>
          <w:rFonts w:ascii="Garamond" w:hAnsi="Garamond"/>
          <w:sz w:val="22"/>
        </w:rPr>
        <w:t xml:space="preserve"> </w:t>
      </w:r>
      <w:bookmarkStart w:id="9" w:name="_Hlk145844577"/>
      <w:r w:rsidRPr="00B54ECC">
        <w:rPr>
          <w:rFonts w:ascii="Garamond" w:hAnsi="Garamond"/>
          <w:sz w:val="22"/>
        </w:rPr>
        <w:fldChar w:fldCharType="begin" w:fldLock="1"/>
      </w:r>
      <w:r w:rsidRPr="00B54ECC">
        <w:rPr>
          <w:rFonts w:ascii="Garamond" w:hAnsi="Garamond"/>
          <w:sz w:val="22"/>
        </w:rPr>
        <w:instrText>ADDIN CSL_CITATION {"citationItems":[{"id":"ITEM-1","itemData":{"URL":"https://kemenperin.go.id/artikel/9889/Omzet-Jamu-dan-ObatTradisional-Capai-Rp-15T","accessed":{"date-parts":[["2023","5","2"]]},"author":[{"dropping-particle":"","family":"Kemenperin","given":"","non-dropping-particle":"","parse-names":false,"suffix":""}],"container-title":"https://kemenperin.go.id/","id":"ITEM-1","issued":{"date-parts":[["2014"]]},"title":"Omzet Jamu dan Obat Tradisional Capai Rp 15T","type":"webpage"},"uris":["http://www.mendeley.com/documents/?uuid=b0f21b3e-af0f-4cb6-9fab-75906562cd00"]}],"mendeley":{"formattedCitation":"(Kemenperin, 2014)","plainTextFormattedCitation":"(Kemenperin, 2014)","previouslyFormattedCitation":"(Kemenperin, 2014)"},"properties":{"noteIndex":0},"schema":"https://github.com/citation-style-language/schema/raw/master/csl-citation.json"}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(Kemenperin, 2014)</w:t>
      </w:r>
      <w:r w:rsidRPr="00B54ECC">
        <w:rPr>
          <w:rFonts w:ascii="Garamond" w:hAnsi="Garamond"/>
          <w:sz w:val="22"/>
        </w:rPr>
        <w:fldChar w:fldCharType="end"/>
      </w:r>
      <w:r w:rsidRPr="00B54ECC">
        <w:rPr>
          <w:rFonts w:ascii="Garamond" w:hAnsi="Garamond"/>
          <w:sz w:val="22"/>
          <w:lang w:val="id-ID"/>
        </w:rPr>
        <w:t xml:space="preserve">. </w:t>
      </w:r>
      <w:bookmarkEnd w:id="9"/>
      <w:r w:rsidRPr="00B54ECC">
        <w:rPr>
          <w:rFonts w:ascii="Garamond" w:hAnsi="Garamond"/>
          <w:sz w:val="22"/>
          <w:lang w:val="id-ID"/>
        </w:rPr>
        <w:t>Some medicinal plants have successfully evolved into modern herbal medicines produced on a large scale. Examples include plants like "</w:t>
      </w:r>
      <w:r w:rsidRPr="00B54ECC">
        <w:rPr>
          <w:rFonts w:ascii="Garamond" w:hAnsi="Garamond"/>
          <w:i/>
          <w:sz w:val="22"/>
          <w:lang w:val="id-ID"/>
        </w:rPr>
        <w:t>temulawak</w:t>
      </w:r>
      <w:r w:rsidRPr="00B54ECC">
        <w:rPr>
          <w:rFonts w:ascii="Garamond" w:hAnsi="Garamond"/>
          <w:sz w:val="22"/>
          <w:lang w:val="id-ID"/>
        </w:rPr>
        <w:t>" (</w:t>
      </w:r>
      <w:r w:rsidRPr="00B54ECC">
        <w:rPr>
          <w:rFonts w:ascii="Garamond" w:hAnsi="Garamond"/>
          <w:i/>
          <w:sz w:val="22"/>
          <w:lang w:val="id-ID"/>
        </w:rPr>
        <w:t>Javanese ginger</w:t>
      </w:r>
      <w:r w:rsidRPr="00B54ECC">
        <w:rPr>
          <w:rFonts w:ascii="Garamond" w:hAnsi="Garamond"/>
          <w:sz w:val="22"/>
          <w:lang w:val="id-ID"/>
        </w:rPr>
        <w:t xml:space="preserve">), </w:t>
      </w:r>
      <w:r w:rsidRPr="00B54ECC">
        <w:rPr>
          <w:rFonts w:ascii="Garamond" w:hAnsi="Garamond"/>
          <w:i/>
          <w:sz w:val="22"/>
          <w:lang w:val="id-ID"/>
        </w:rPr>
        <w:t>turmeric, ginger</w:t>
      </w:r>
      <w:r w:rsidRPr="00B54ECC">
        <w:rPr>
          <w:rFonts w:ascii="Garamond" w:hAnsi="Garamond"/>
          <w:sz w:val="22"/>
          <w:lang w:val="id-ID"/>
        </w:rPr>
        <w:t>, and "</w:t>
      </w:r>
      <w:r w:rsidRPr="00B54ECC">
        <w:rPr>
          <w:rFonts w:ascii="Garamond" w:hAnsi="Garamond"/>
          <w:i/>
          <w:sz w:val="22"/>
          <w:lang w:val="id-ID"/>
        </w:rPr>
        <w:t>kencur</w:t>
      </w:r>
      <w:r w:rsidRPr="00B54ECC">
        <w:rPr>
          <w:rFonts w:ascii="Garamond" w:hAnsi="Garamond"/>
          <w:sz w:val="22"/>
          <w:lang w:val="id-ID"/>
        </w:rPr>
        <w:t>" (</w:t>
      </w:r>
      <w:r w:rsidRPr="00B54ECC">
        <w:rPr>
          <w:rFonts w:ascii="Garamond" w:hAnsi="Garamond"/>
          <w:i/>
          <w:sz w:val="22"/>
          <w:lang w:val="id-ID"/>
        </w:rPr>
        <w:t>lesser galangal</w:t>
      </w:r>
      <w:r w:rsidRPr="00B54ECC">
        <w:rPr>
          <w:rFonts w:ascii="Garamond" w:hAnsi="Garamond"/>
          <w:sz w:val="22"/>
          <w:lang w:val="id-ID"/>
        </w:rPr>
        <w:t>), which are used in various herbal products and supplements.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Incorporating instructional material on the use of medicinal plants in biology education has significant potential to enrich students' understanding of biological concepts while exploring the vital importance of biodiversity and the use of plants in traditional and modern medicine</w:t>
      </w:r>
      <w:r w:rsidRPr="00B54ECC">
        <w:rPr>
          <w:rFonts w:ascii="Garamond" w:hAnsi="Garamond"/>
          <w:sz w:val="22"/>
        </w:rPr>
        <w:t xml:space="preserve"> </w:t>
      </w:r>
      <w:bookmarkStart w:id="10" w:name="_Hlk145844638"/>
      <w:r w:rsidRPr="00B54ECC">
        <w:rPr>
          <w:rFonts w:ascii="Garamond" w:hAnsi="Garamond"/>
          <w:sz w:val="22"/>
        </w:rPr>
        <w:fldChar w:fldCharType="begin" w:fldLock="1"/>
      </w:r>
      <w:r w:rsidRPr="00B54ECC">
        <w:rPr>
          <w:rFonts w:ascii="Garamond" w:hAnsi="Garamond"/>
          <w:sz w:val="22"/>
        </w:rPr>
        <w:instrText>ADDIN CSL_CITATION {"citationItems":[{"id":"ITEM-1","itemData":{"DOI":"10.1186/1472-6882-14-105","ISSN":"14726882","PMID":"24646341","abstract":"Background: There has been a global rise in the use of natural health products (NHPs). Proper regulation of NHPs is pivotal to ensure good quality control standards, enhance consumers' safety and facilitate their integration into modern healthcare systems. There is scarcity of published data on the prevalence of NHPs usage among the general Kuwaiti population. Hence, this study was designed to determine awareness, patterns of use, general attitude and information requirements about NHPs among the public in Kuwait.Methods: A descriptive cross-sectional survey was performed using a pretested self-administered questionnaire on a sample of 1300 Kuwaiti individuals, selected from six governorates in Kuwait using a multistage stratified clustered sampling. Descriptive and multivariate logistic regression analysis were used in data analysis.Results: The response rate was 90.2%. NHPs were thought to be herbal remedies by most of participants (63.5%), followed by vitamins/minerals (40.5%), traditional medicines (21.1%), probiotics (14.9%), amino acids and essential fatty acids (7.2%), and homeopathic medicines (5.6%). NHPs usage was reported by 71.4% (95% CI: 68.8-74.0%) of respondents, and mostly associated with females (OR: 1.90; 95% CI: 1.44-2.51). Herbal remedies were the most commonly used (41.3%; 95% CI: 38.5-44.2%). The most common reasons for using NHPs were to promote and maintain health and to prevent illness and build immune system. Family members and/or friends and mass media were the main sources for providing information about NHPs. About 18% of consumers have experienced a side effect due to using a NHP. Attitudes toward NHPs were generally positive; with more than 75% of participants believing that the Ministry of Health in Kuwait should regulate the claims made by the manufacturers of NHPs and it is important to talk to a medical doctor or a pharmacist prior to using NHPs. Most of the respondents showed increased interest to acquire knowledge about different types of information related to NHPs.Conclusions: The prevalence of use of NHPs among Kuwaiti population is high. The present findings have major public health policy implications for Kuwait. Therefore, there is an apparent need to establish effective health education programs and implement better and more regulated NHPs use policies in Kuwait. © 2014 Awad and Al-Shaye; licensee BioMed Central Ltd.","author":[{"dropping-particle":"","family":"Awad","given":"Abdelmoneim","non-dropping-particle":"","parse-names":false,"suffix":""},{"dropping-particle":"","family":"Al-Shaye","given":"Dana","non-dropping-particle":"","parse-names":false,"suffix":""}],"container-title":"BMC Complementary and Alternative Medicine","id":"ITEM-1","issued":{"date-parts":[["2014"]]},"page":"1-11","title":"Public awareness, patterns of use and attitudes toward natural health products in Kuwait: A cross-sectional survey","type":"article-journal","volume":"14"},"uris":["http://www.mendeley.com/documents/?uuid=76e0b0ba-f26e-48f4-8824-7d22104d3d0f"]},{"id":"ITEM-2","itemData":{"DOI":"10.1016/j.pld.2020.09.004","ISSN":"24682659","abstract":"The Buyi are a socio-linguistic group in Yunnan Province of southwest China that have a long history of using medicinal plants as part of their indigenous medical system. Given the limited written documentation of the Buyi indigenous medical system, the objective of this paper is to document the medicinal plants of the Buyi and associated traditional knowledge and transmission. Field research was conducted in four villages in Lubuge Township of Luoping County in Yunnan Province using ethnobotanical methodologies including participatory observation, semi-structured interviews, key informant interviews, and focus group discussions to elicit information on medicinal plants. In total, 120 informants (including 15 key informants who are healers) were interviewed. This study found that a total of 121 medicinal plant species belonging to 64 families are used by the Buyi including by local healers to treat different diseases. Among the medicinal plants recorded in this study, 56 species (46%) have not previously been documented in the scientific literature as having medicinal value, highlighting the pressing need for ethnobotanical documentation in indigenous communities. The most frequently used medicinal part was the leaf (24.9% of documented plants), and the most common preparation method was decoction (62.8% of medicinal). Medicinal plants were mainly used to treat rheumatism (12.4% of plants), trauma and injuries (9.6%). The documented plants are also used for other non-medicinal purposes including food, fodder, fencing, and ornamental. In addition, 35 of the medicinal plants are considered poisonous and are used by local Buyi healers for medicine. The traditional Buyi beliefs and practices associated with the documented medicinal plants likely contributes to their conservation in the environments and around Buyi communities. This study further highlights that ethnomedicinal knowledge of the Buyi is at risk of disappearing due to increased introduction and use of modern medicine in Buyi communities, livelihood changes, rapid modernization, and urbanization. Research, policy, and community programs are urgently needed to conserve the biocultural diversity associated with the Buyi medical system including ethnobotanical knowledge towards supporting both environmental and human wellbeing.","author":[{"dropping-particle":"","family":"Xiong","given":"Yong","non-dropping-particle":"","parse-names":false,"suffix":""},{"dropping-particle":"","family":"Sui","given":"Xueyi","non-dropping-particle":"","parse-names":false,"suffix":""},{"dropping-particle":"","family":"Ahmed","given":"Selena","non-dropping-particle":"","parse-names":false,"suffix":""},{"dropping-particle":"","family":"Wang","given":"Zhi","non-dropping-particle":"","parse-names":false,"suffix":""},{"dropping-particle":"","family":"Long","given":"Chunlin","non-dropping-particle":"","parse-names":false,"suffix":""}],"container-title":"Plant Diversity","id":"ITEM-2","issue":"6","issued":{"date-parts":[["2020"]]},"page":"401-414","publisher":"Elsevier Ltd","title":"Ethnobotany and diversity of medicinal plants used by the Buyi in eastern Yunnan, China","type":"article-journal","volume":"42"},"uris":["http://www.mendeley.com/documents/?uuid=32b0cfae-cf7c-4f47-890a-530be3006a38"]}],"mendeley":{"formattedCitation":"(Awad &amp; Al-Shaye, 2014; Xiong et al., 2020)","plainTextFormattedCitation":"(Awad &amp; Al-Shaye, 2014; Xiong et al., 2020)","previouslyFormattedCitation":"(Awad &amp; Al-Shaye, 2014; Xiong et al., 2020)"},"properties":{"noteIndex":0},"schema":"https://github.com/citation-style-language/schema/raw/master/csl-citation.json"}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(Awad &amp; Al-Shaye, 2014; Xiong et al., 2020)</w:t>
      </w:r>
      <w:r w:rsidRPr="00B54ECC">
        <w:rPr>
          <w:rFonts w:ascii="Garamond" w:hAnsi="Garamond"/>
          <w:sz w:val="22"/>
        </w:rPr>
        <w:fldChar w:fldCharType="end"/>
      </w:r>
      <w:r w:rsidRPr="00B54ECC">
        <w:rPr>
          <w:rFonts w:ascii="Garamond" w:hAnsi="Garamond"/>
          <w:sz w:val="22"/>
          <w:lang w:val="id-ID"/>
        </w:rPr>
        <w:t xml:space="preserve">. </w:t>
      </w:r>
      <w:bookmarkEnd w:id="10"/>
      <w:r w:rsidRPr="00B54ECC">
        <w:rPr>
          <w:rFonts w:ascii="Garamond" w:hAnsi="Garamond"/>
          <w:sz w:val="22"/>
          <w:lang w:val="id-ID"/>
        </w:rPr>
        <w:t>Medicinal plant material can introduce students to the concept of biodiversity and teach them to recognize various plant species used in traditional and modern medicine</w:t>
      </w:r>
      <w:r w:rsidRPr="00B54ECC">
        <w:rPr>
          <w:rFonts w:ascii="Garamond" w:hAnsi="Garamond"/>
          <w:sz w:val="22"/>
        </w:rPr>
        <w:t xml:space="preserve"> </w:t>
      </w:r>
      <w:bookmarkStart w:id="11" w:name="_Hlk145844668"/>
      <w:r w:rsidRPr="00B54ECC">
        <w:rPr>
          <w:rFonts w:ascii="Garamond" w:hAnsi="Garamond"/>
          <w:sz w:val="22"/>
        </w:rPr>
        <w:fldChar w:fldCharType="begin" w:fldLock="1"/>
      </w:r>
      <w:r w:rsidRPr="00B54ECC">
        <w:rPr>
          <w:rFonts w:ascii="Garamond" w:hAnsi="Garamond"/>
          <w:sz w:val="22"/>
        </w:rPr>
        <w:instrText>ADDIN CSL_CITATION {"citationItems":[{"id":"ITEM-1","itemData":{"DOI":"10.1016/j.pld.2020.09.004","ISSN":"24682659","abstract":"The Buyi are a socio-linguistic group in Yunnan Province of southwest China that have a long history of using medicinal plants as part of their indigenous medical system. Given the limited written documentation of the Buyi indigenous medical system, the objective of this paper is to document the medicinal plants of the Buyi and associated traditional knowledge and transmission. Field research was conducted in four villages in Lubuge Township of Luoping County in Yunnan Province using ethnobotanical methodologies including participatory observation, semi-structured interviews, key informant interviews, and focus group discussions to elicit information on medicinal plants. In total, 120 informants (including 15 key informants who are healers) were interviewed. This study found that a total of 121 medicinal plant species belonging to 64 families are used by the Buyi including by local healers to treat different diseases. Among the medicinal plants recorded in this study, 56 species (46%) have not previously been documented in the scientific literature as having medicinal value, highlighting the pressing need for ethnobotanical documentation in indigenous communities. The most frequently used medicinal part was the leaf (24.9% of documented plants), and the most common preparation method was decoction (62.8% of medicinal). Medicinal plants were mainly used to treat rheumatism (12.4% of plants), trauma and injuries (9.6%). The documented plants are also used for other non-medicinal purposes including food, fodder, fencing, and ornamental. In addition, 35 of the medicinal plants are considered poisonous and are used by local Buyi healers for medicine. The traditional Buyi beliefs and practices associated with the documented medicinal plants likely contributes to their conservation in the environments and around Buyi communities. This study further highlights that ethnomedicinal knowledge of the Buyi is at risk of disappearing due to increased introduction and use of modern medicine in Buyi communities, livelihood changes, rapid modernization, and urbanization. Research, policy, and community programs are urgently needed to conserve the biocultural diversity associated with the Buyi medical system including ethnobotanical knowledge towards supporting both environmental and human wellbeing.","author":[{"dropping-particle":"","family":"Xiong","given":"Yong","non-dropping-particle":"","parse-names":false,"suffix":""},{"dropping-particle":"","family":"Sui","given":"Xueyi","non-dropping-particle":"","parse-names":false,"suffix":""},{"dropping-particle":"","family":"Ahmed","given":"Selena","non-dropping-particle":"","parse-names":false,"suffix":""},{"dropping-particle":"","family":"Wang","given":"Zhi","non-dropping-particle":"","parse-names":false,"suffix":""},{"dropping-particle":"","family":"Long","given":"Chunlin","non-dropping-particle":"","parse-names":false,"suffix":""}],"container-title":"Plant Diversity","id":"ITEM-1","issue":"6","issued":{"date-parts":[["2020"]]},"page":"401-414","publisher":"Elsevier Ltd","title":"Ethnobotany and diversity of medicinal plants used by the Buyi in eastern Yunnan, China","type":"article-journal","volume":"42"},"uris":["http://www.mendeley.com/documents/?uuid=32b0cfae-cf7c-4f47-890a-530be3006a38"]}],"mendeley":{"formattedCitation":"(Xiong et al., 2020)","plainTextFormattedCitation":"(Xiong et al., 2020)","previouslyFormattedCitation":"(Xiong et al., 2020)"},"properties":{"noteIndex":0},"schema":"https://github.com/citation-style-language/schema/raw/master/csl-citation.json"}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(Xiong et al., 2020)</w:t>
      </w:r>
      <w:r w:rsidRPr="00B54ECC">
        <w:rPr>
          <w:rFonts w:ascii="Garamond" w:hAnsi="Garamond"/>
          <w:sz w:val="22"/>
        </w:rPr>
        <w:fldChar w:fldCharType="end"/>
      </w:r>
      <w:r w:rsidRPr="00B54ECC">
        <w:rPr>
          <w:rFonts w:ascii="Garamond" w:hAnsi="Garamond"/>
          <w:sz w:val="22"/>
          <w:lang w:val="id-ID"/>
        </w:rPr>
        <w:t xml:space="preserve">. </w:t>
      </w:r>
      <w:bookmarkEnd w:id="11"/>
      <w:r w:rsidRPr="00B54ECC">
        <w:rPr>
          <w:rFonts w:ascii="Garamond" w:hAnsi="Garamond"/>
          <w:sz w:val="22"/>
          <w:lang w:val="id-ID"/>
        </w:rPr>
        <w:t>Medicinal plant material can also acquaint students with ongoing research in the field of plant-based pharmacy. Learning about medicinal plants can also teach students how to harness local resources for treatment and natural remedies, promoting awareness of local culture and traditions. Thus, integrating medicinal plant material into biology education can provide students with a deeper understanding of the relationship between biodiversity, plant biology, and human usage. It can also stimulate their interest in scientific research and environmental conservation.</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The implementation of biology education with a focus on understanding medicinal plants may encounter several challenges. (1) Finding appropriate and relevant learning resources on medicinal plants, especially those aligned with the curriculum and students' comprehension levels, can be difficult</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{"citationItems":[{"id":"ITEM-1","itemData":{"DOI":"10.1016/j.biopha.2021.112182","ISSN":"19506007","PMID":"34649338","abstract":"Nigella sativa L. is one of the most extensively used traditional medicinal plants. This widely studied plant is known to display diverse pharmacological actions, including antimicrobial activities. Current literature has documented its multi-target mode of antimicrobial actions. N. sativa or its bioactive compounds, such as thymoquinone, can induce oxidative stress, cell apoptosis (by producing reactive oxygen species), increase membrane permeability, inhibit efflux pumps, and impose strong biocidal actions. Despite its well-documented antimicrobial efficacy in the experimental model, to the best of our knowledge its antimicrobial mechanisms highlighting the multi-targeting properties have yet to be well discussed. Is N. sativa or thymoquinone a valuable lead compound for therapeutic development for infectious diseases? Are N. sativa's bioactive compounds potential antimicrobial agents or able to overcome antimicrobial resistance? This review aims to discuss the antimicrobial pharmacology of N. sativa-based treatments. Additionally, it provides a holistic overview of the ethnobotany, ethnopharmacology, and phytochemistry of N. sativa.","author":[{"dropping-particle":"","family":"Hossain","given":"Md Sanower","non-dropping-particle":"","parse-names":false,"suffix":""},{"dropping-particle":"","family":"Sharfaraz","given":"Ashik","non-dropping-particle":"","parse-names":false,"suffix":""},{"dropping-particle":"","family":"Dutta","given":"Amit","non-dropping-particle":"","parse-names":false,"suffix":""},{"dropping-particle":"","family":"Ahsan","given":"Asif","non-dropping-particle":"","parse-names":false,"suffix":""},{"dropping-particle":"","family":"Masud","given":"Md Anwarul","non-dropping-particle":"","parse-names":false,"suffix":""},{"dropping-particle":"","family":"Ahmed","given":"Idris Adewale","non-dropping-particle":"","parse-names":false,"suffix":""},{"dropping-particle":"","family":"Goh","given":"Bey Hing","non-dropping-particle":"","parse-names":false,"suffix":""},{"dropping-particle":"","family":"Urbi","given":"Zannat","non-dropping-particle":"","parse-names":false,"suffix":""},{"dropping-particle":"","family":"Sarker","given":"Md Moklesur Rahman","non-dropping-particle":"","parse-names":false,"suffix":""},{"dropping-particle":"","family":"Ming","given":"Long Chiau","non-dropping-particle":"","parse-names":false,"suffix":""}],"container-title":"Biomedicine and Pharmacotherapy","id":"ITEM-1","issued":{"date-parts":[["2021"]]},"page":"112182","publisher":"Elsevier Masson SAS","title":"A review of ethnobotany, phytochemistry, antimicrobial pharmacology and toxicology of Nigella sativa L.","type":"article-journal","volume":"143"},"uris":["http://www.mendeley.com/documents/?uuid=343ed475-78b0-463f-ab54-370588c1a48e"]}],"mendeley":{"formattedCitation":"(Hossain et al., 2021)","plainTextFormattedCitation":"(Hossain et al., 2021)","previouslyFormattedCitation":"(Hossain et al., 2021)"},"properties":{"noteIndex":0},"schema":"https://github.com/citation-style-language/schema/raw/master/csl-citation.json"}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(Hossain et al., 2021)</w:t>
      </w:r>
      <w:r w:rsidRPr="00B54ECC">
        <w:rPr>
          <w:rFonts w:ascii="Garamond" w:hAnsi="Garamond"/>
          <w:sz w:val="22"/>
        </w:rPr>
        <w:fldChar w:fldCharType="end"/>
      </w:r>
      <w:r w:rsidRPr="00B54ECC">
        <w:rPr>
          <w:rFonts w:ascii="Garamond" w:hAnsi="Garamond"/>
          <w:sz w:val="22"/>
          <w:lang w:val="id-ID"/>
        </w:rPr>
        <w:t>. (2) Teaching students to recognize various medicinal plant species can be challenging, particularly if students lack prior experience in botany</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{"citationItems":[{"id":"ITEM-1","itemData":{"DOI":"10.5688/ajpe6100","ISSN":"15536467","PMID":"29367772","abstract":"Objective. To create and implement a class in ethnopharmacology that would educate student pharmacists on folk medicine, including home remedies and native plants that are used as alternative medicinal sources; active components of medicinal plants including toxicity issues and the mechanism of action of beneficial compounds, such as catechins and other flavonoids; and nutraceuticals and poisonous plants. Methods. In this three-credit hour class, herbal remedies are investigated from the standpoints of medical efficacy, potential toxicities and drug interactions with prescribed medications. Class discussions are conducted on the usefulness of remedies, the attitudes of practitioners toward traditional remedy use and the risks of relying on herbal preparations. Each student prepares a 15-minute presentation on a disease state, which covers modern pharmaceuticals and herbal or folk remedy alternatives used in that disease. Special emphasis is given to drug-herb interactions. Results. The class has gained popularity among students and consistently fills within the first hour of computerized registration. Students agree that being educated in the benefits and potential toxicities of herbal products will better prepare them to counsel their patients who use these remedies. The elective has been offered 10 times since 2007. Anecdotal comments from our alumni indicate that they have found the information to be very useful in their practice environments. Conclusion. Providing our students with a greater understanding of herbal remedies is essential to prepare them for practice. By including both the uses and potential toxicities, the student pharmacist is able to counsel her patients from a standpoint of expertise on these self-administered remedies.","author":[{"dropping-particle":"","family":"Linger","given":"Rebecca S.","non-dropping-particle":"","parse-names":false,"suffix":""}],"container-title":"American Journal of Pharmaceutical Education","id":"ITEM-1","issue":"10","issued":{"date-parts":[["2017"]]},"page":"47-55","publisher":"Elsevier Masson SAS","title":"Design and implementation of an elective on the ethnopharmacology of appalachia for the PharmD curriculum","type":"article-journal","volume":"81"},"uris":["http://www.mendeley.com/documents/?uuid=dd4dc2fa-00ae-42d0-904a-97352d19a583"]}],"mendeley":{"formattedCitation":"(Linger, 2017)","plainTextFormattedCitation":"(Linger, 2017)","previouslyFormattedCitation":"(Linger,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(Linger, 2017)</w:t>
      </w:r>
      <w:r w:rsidRPr="00B54ECC">
        <w:rPr>
          <w:rFonts w:ascii="Garamond" w:hAnsi="Garamond"/>
          <w:sz w:val="22"/>
        </w:rPr>
        <w:fldChar w:fldCharType="end"/>
      </w:r>
      <w:r w:rsidRPr="00B54ECC">
        <w:rPr>
          <w:rFonts w:ascii="Garamond" w:hAnsi="Garamond"/>
          <w:sz w:val="22"/>
          <w:lang w:val="id-ID"/>
        </w:rPr>
        <w:t>. (3) Conveying to students the science behind the effects and uses of medicinal plants requires a deep scientific understanding</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10.1177/2156587216675079","author":[{"dropping-particle":"","family":"Sheikhrabori","given":"Akbar","non-dropping-particle":"","parse-names":false,"suffix":""},{"dropping-particle":"","family":"Dehghan","given":"Mahlagha","non-dropping-particle":"","parse-names":false,"suffix":""},{"dropping-particle":"","family":"Ghaedi","given":"Fateme","non-dropping-particle":"","parse-names":false,"suffix":""}],"container-title":"Journal of Evidence-Based Complementary &amp; Alternative Medicine","id":"ITEM-1","issue":"3","issued":{"date-parts":[["2017"]]},"page":"449-454","title":"Complementary and Alternative Medicine Usage and Its Determinant Factors Among Diabetic Patients : An Iranian Case","type":"article-journal","volume":"22"},"uris":["http://www.mendeley.com/documents/?uuid=3ab72e4d-e080-40d9-9ba6-ad9bd2800c1f"]}],"mendeley":{"formattedCitation":"(Sheikhrabori et al., 2017)","plainTextFormattedCitation":"(Sheikhrabori et al., 2017)","previouslyFormattedCitation":"(Sheikhrabori et al.,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(Sheikhrabori et al., 2017)</w:t>
      </w:r>
      <w:r w:rsidRPr="00B54ECC">
        <w:rPr>
          <w:rFonts w:ascii="Garamond" w:hAnsi="Garamond"/>
          <w:sz w:val="22"/>
        </w:rPr>
        <w:fldChar w:fldCharType="end"/>
      </w:r>
      <w:r w:rsidRPr="00B54ECC">
        <w:rPr>
          <w:rFonts w:ascii="Garamond" w:hAnsi="Garamond"/>
          <w:sz w:val="22"/>
          <w:lang w:val="id-ID"/>
        </w:rPr>
        <w:t>. (4) In the case of teaching about medicinal plants, there are many botanical and chemical terms that may be challenging for students to grasp, especially if their native language is not English or another commonly used language in science</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{"citationItems":[{"id":"ITEM-1","itemData":{"DOI":"10.1016/j.pld.2020.09.004","ISSN":"24682659","abstract":"The Buyi are a socio-linguistic group in Yunnan Province of southwest China that have a long history of using medicinal plants as part of their indigenous medical system. Given the limited written documentation of the Buyi indigenous medical system, the objective of this paper is to document the medicinal plants of the Buyi and associated traditional knowledge and transmission. Field research was conducted in four villages in Lubuge Township of Luoping County in Yunnan Province using ethnobotanical methodologies including participatory observation, semi-structured interviews, key informant interviews, and focus group discussions to elicit information on medicinal plants. In total, 120 informants (including 15 key informants who are healers) were interviewed. This study found that a total of 121 medicinal plant species belonging to 64 families are used by the Buyi including by local healers to treat different diseases. Among the medicinal plants recorded in this study, 56 species (46%) have not previously been documented in the scientific literature as having medicinal value, highlighting the pressing need for ethnobotanical documentation in indigenous communities. The most frequently used medicinal part was the leaf (24.9% of documented plants), and the most common preparation method was decoction (62.8% of medicinal). Medicinal plants were mainly used to treat rheumatism (12.4% of plants), trauma and injuries (9.6%). The documented plants are also used for other non-medicinal purposes including food, fodder, fencing, and ornamental. In addition, 35 of the medicinal plants are considered poisonous and are used by local Buyi healers for medicine. The traditional Buyi beliefs and practices associated with the documented medicinal plants likely contributes to their conservation in the environments and around Buyi communities. This study further highlights that ethnomedicinal knowledge of the Buyi is at risk of disappearing due to increased introduction and use of modern medicine in Buyi communities, livelihood changes, rapid modernization, and urbanization. Research, policy, and community programs are urgently needed to conserve the biocultural diversity associated with the Buyi medical system including ethnobotanical knowledge towards supporting both environmental and human wellbeing.","author":[{"dropping-particle":"","family":"Xiong","given":"Yong","non-dropping-particle":"","parse-names":false,"suffix":""},{"dropping-particle":"","family":"Sui","given":"Xueyi","non-dropping-particle":"","parse-names":false,"suffix":""},{"dropping-particle":"","family":"Ahmed","given":"Selena","non-dropping-particle":"","parse-names":false,"suffix":""},{"dropping-particle":"","family":"Wang","given":"Zhi","non-dropping-particle":"","parse-names":false,"suffix":""},{"dropping-particle":"","family":"Long","given":"Chunlin","non-dropping-particle":"","parse-names":false,"suffix":""}],"container-title":"Plant Diversity","id":"ITEM-1","issue":"6","issued":{"date-parts":[["2020"]]},"page":"401-414","publisher":"Elsevier Ltd","title":"Ethnobotany and diversity of medicinal plants used by the Buyi in eastern Yunnan, China","type":"article-journal","volume":"42"},"uris":["http://www.mendeley.com/documents/?uuid=32b0cfae-cf7c-4f47-890a-530be3006a38"]}],"mendeley":{"formattedCitation":"(Xiong et al., 2020)","plainTextFormattedCitation":"(Xiong et al., 2020)","previouslyFormattedCitation":"(Xiong et al., 2020)"},"properties":{"noteIndex":0},"schema":"https://github.com/citation-style-language/schema/raw/master/csl-citation.json"}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(Xiong et al., 2020)</w:t>
      </w:r>
      <w:r w:rsidRPr="00B54ECC">
        <w:rPr>
          <w:rFonts w:ascii="Garamond" w:hAnsi="Garamond"/>
          <w:sz w:val="22"/>
        </w:rPr>
        <w:fldChar w:fldCharType="end"/>
      </w:r>
      <w:r w:rsidRPr="00B54ECC">
        <w:rPr>
          <w:rFonts w:ascii="Garamond" w:hAnsi="Garamond"/>
          <w:sz w:val="22"/>
          <w:lang w:val="id-ID"/>
        </w:rPr>
        <w:t>. (5) Understanding traditional medicine, culture, and beliefs related to medicinal plants is also an essential aspect of the learning process</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{"citationItems":[{"id":"ITEM-1","itemData":{"DOI":"10.1016/j.jep.2022.115404","ISSN":"18727573","PMID":"35643208","abstract":"Ethnopharmacological relevance: Medicinal plants have been extensively used to treat various illnesses since the dawn of civilization. The genus Didymorcapus Wall. comprises 100 species widely distributed in the tropical regions of Asia, with a few found scattered in Africa and Australia. Species in this genus have long been used in folk medicine to treat various illnesses, including wounds, kidney stones, inflammations, asthma, flu, eczema, dysentery, fractures, colic etc. Some species have applications as weight loss agents, laxatives, and protective medication after childbirth. Aim: To provide comprehensive information on the current knowledge of the ethnobotanical uses, phytochemical compounds, pharmacological applications, and toxicology of genus Didymocarpus to reveal its therapeutic potential, offering insights into future research opportunities. Materials and methods: Data were systematically obtained from books and online databases such as PubMed, Web of Science, Scopus, Sci Finder, Google Scholar, Science direct, ACS Publications, Elsevier, Wiley Online Library. Results: Seventeen Didymocarpus species have applications in traditional medicine in different Asian countries. A total of 166 compounds have been isolated from the genus Didymocarpus including terpenoids, flavonoids, phenolic compounds, fatty acids, chalcones, steroids, and others. Among these constituents, terpenoids, flavonoids, chalcones, and phenolics are the significant contributors to pharmacological activities of the genus Didymocarpus, possessing wide-reaching biological activities both in vivo and in vitro. The crude extracts and isolated phytochemical compounds from this genus have been shown to exhibit various pharmacological activities, including antiurolithiatic, nephro-protective, antimicrobial, anticancer, antidiabetic, cytotoxic, wound healing, and antioxidant activities. Conclusions: Traditional uses and scientific evaluation of Didymocarpus indicate that Didymocarpus pedicellata is one of the most widely used species in some parts of the world. Although substantial progress on the chemical and pharmacological properties of Didymocarpus species has been made, further studies on the pharmacology and toxicology of these species are needed to ensure safety, efficacy, and quality. Also, further research on the structure-activity relationship of some of the isolated phytocompounds may improve their biological potency and scientific exploitation of traditional uses of the D…","author":[{"dropping-particle":"","family":"Nanjala","given":"Consolata","non-dropping-particle":"","parse-names":false,"suffix":""},{"dropping-particle":"","family":"Odago","given":"Wyclif Ochieng","non-dropping-particle":"","parse-names":false,"suffix":""},{"dropping-particle":"","family":"Rono","given":"Peninah Cheptoo","non-dropping-particle":"","parse-names":false,"suffix":""},{"dropping-particle":"","family":"Waswa","given":"Emmanuel Nyongesa","non-dropping-particle":"","parse-names":false,"suffix":""},{"dropping-particle":"","family":"Mutinda","given":"Elizabeth Syowai","non-dropping-particle":"","parse-names":false,"suffix":""},{"dropping-particle":"","family":"Oulo","given":"Millicent Akinyi","non-dropping-particle":"","parse-names":false,"suffix":""},{"dropping-particle":"","family":"Muema","given":"Felix Wambua","non-dropping-particle":"","parse-names":false,"suffix":""},{"dropping-particle":"","family":"Wanga","given":"Vincent Okelo","non-dropping-particle":"","parse-names":false,"suffix":""},{"dropping-particle":"","family":"Mkala","given":"Elijah Mbandi","non-dropping-particle":"","parse-names":false,"suffix":""},{"dropping-particle":"","family":"Kuja","given":"Josiah","non-dropping-particle":"","parse-names":false,"suffix":""},{"dropping-particle":"","family":"Njire","given":"Moses Mucugi","non-dropping-particle":"","parse-names":false,"suffix":""},{"dropping-particle":"","family":"Hu","given":"Guang Wan","non-dropping-particle":"","parse-names":false,"suffix":""}],"container-title":"Journal of Ethnopharmacology","id":"ITEM-1","issue":"May","issued":{"date-parts":[["2022"]]},"page":"115404","publisher":"Elsevier B.V.","title":"A review on ethnobotany, phytochemistry, and pharmacology of the genus Didymocarpus wall. (Gesneriaceae)","type":"article-journal","volume":"295"},"uris":["http://www.mendeley.com/documents/?uuid=0557b06a-0960-44fa-b9e5-65afa5646428"]}],"mendeley":{"formattedCitation":"(Nanjala et al., 2022)","plainTextFormattedCitation":"(Nanjala et al., 2022)","previouslyFormattedCitation":"(Nanjala et al., 2022)"},"properties":{"noteIndex":0},"schema":"https://github.com/citation-style-language/schema/raw/master/csl-citation.json"}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(Nanjala et al., 2022)</w:t>
      </w:r>
      <w:r w:rsidRPr="00B54ECC">
        <w:rPr>
          <w:rFonts w:ascii="Garamond" w:hAnsi="Garamond"/>
          <w:sz w:val="22"/>
        </w:rPr>
        <w:fldChar w:fldCharType="end"/>
      </w:r>
      <w:r w:rsidRPr="00B54ECC">
        <w:rPr>
          <w:rFonts w:ascii="Garamond" w:hAnsi="Garamond"/>
          <w:sz w:val="22"/>
          <w:lang w:val="id-ID"/>
        </w:rPr>
        <w:t xml:space="preserve">. (6) Schools and teachers may have limitations in resources for gathering medicinal plants or conducting experiments in biology </w:t>
      </w:r>
      <w:r w:rsidRPr="00B54ECC">
        <w:rPr>
          <w:rFonts w:ascii="Garamond" w:hAnsi="Garamond"/>
          <w:sz w:val="22"/>
        </w:rPr>
        <w:t>teaching</w:t>
      </w:r>
      <w:r w:rsidRPr="00B54ECC">
        <w:rPr>
          <w:rFonts w:ascii="Garamond" w:hAnsi="Garamond"/>
          <w:sz w:val="22"/>
          <w:lang w:val="id-ID"/>
        </w:rPr>
        <w:t>, potentially restricting students' practical experiences</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{"citationItems":[{"id":"ITEM-1","itemData":{"DOI":"10.1186/s13002-019-0286-3","ISSN":"17464269","PMID":"30744678","abstract":"Background: The wild plants not only form an integral part of the culture and traditions of the Himalayan tribal communities but also contribute largely to the sustenance of these communities. The tribal people use large varieties of wild fruits, vegetables, fodder, medicinal plants, etc. for meeting their day-to-day requirements. The present study was conducted in Churah subdivision of district Chamba where large populations of Muslim Gujjars inhabit various remote villages. These tribal people are semi-pastoralists, and they seasonally (early summers) migrate to the upper altitudes (Adhwari's) along with their cattle and return to permanent settlements before the onset of winters. A major source of subsistence of these tribal people is on natural resources to a wide extent, and thus, they have wide ethnobotanical knowledge. Therefore, the current study was aimed to report the ethnobotanical knowledge of plants among the Gujjar tribe in Churah subdivision of district Chamba, Himachal Pradesh. Methods: Extensive field surveys were conducted in 15 remote villages dominant in Gujjar population from June 2016 to September 2017. The Gujjars of the area having ethnobotanical knowledge of the plants were interrogated especially during their stay at the higher altitudes (Adhwari's) through well-structured questionnaires, interviews, and group meetings. The data generated was examined using quantitative tools such as use value, fidelity, and informant consensus factor (F ic ). Results: This study reveals 83 plants belonging to 75 genera and 49 families that were observed to have ethnobotanical uses. Plants were listed in five categories as per their use by the Gujjars, i.e. food plants, fruit plants, fodder plants, household, and ethnomedicinal plants. The leaves, fruits, and roots were the most commonly used plant parts in the various preparations. The highest number of plants was recorded from the family Rosaceae followed by Polygonaceae and Betulaceae. On the basis of use value (UV), the most important plants in the study area were Pteridium aquilinum, Juglans regia, Corylus jacquemontii, Urtica dioica, Diplazium maximum, and Angelica glauca. Maximum plant species (32) were reported for ethnomedicinal uses followed by food plants (22 species), household purposes (16 species), edible fruits (15 species), and as fodder plants (14 species). The agreement of the informants conceded the most from the use of various plants used as food plants and fruit plants (F i…","author":[{"dropping-particle":"","family":"Rana","given":"Dipika","non-dropping-particle":"","parse-names":false,"suffix":""},{"dropping-particle":"","family":"Bhatt","given":"Anupam","non-dropping-particle":"","parse-names":false,"suffix":""},{"dropping-particle":"","family":"Lal","given":"Brij","non-dropping-particle":"","parse-names":false,"suffix":""}],"container-title":"Journal of Ethnobiology and Ethnomedicine","id":"ITEM-1","issue":"1","issued":{"date-parts":[["2019"]]},"page":"1-21","publisher":"Journal of Ethnobiology and Ethnomedicine","title":"Ethnobotanical knowledge among the semi-pastoral Gujjar tribe in the high altitude (Adhwari's) of Churah subdivision, district Chamba, Western Himalaya","type":"article-journal","volume":"15"},"uris":["http://www.mendeley.com/documents/?uuid=e8d7efa8-3829-4424-b3c1-16fd98d7d3c8"]}],"mendeley":{"formattedCitation":"(Rana et al., 2019)","plainTextFormattedCitation":"(Rana et al., 2019)","previouslyFormattedCitation":"(Rana et al.,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(Rana et al., 2019)</w:t>
      </w:r>
      <w:r w:rsidRPr="00B54ECC">
        <w:rPr>
          <w:rFonts w:ascii="Garamond" w:hAnsi="Garamond"/>
          <w:sz w:val="22"/>
        </w:rPr>
        <w:fldChar w:fldCharType="end"/>
      </w:r>
      <w:r w:rsidRPr="00B54ECC">
        <w:rPr>
          <w:rFonts w:ascii="Garamond" w:hAnsi="Garamond"/>
          <w:sz w:val="22"/>
          <w:lang w:val="id-ID"/>
        </w:rPr>
        <w:t>. (7) Teaching</w:t>
      </w:r>
      <w:bookmarkStart w:id="12" w:name="_GoBack"/>
      <w:bookmarkEnd w:id="12"/>
      <w:r w:rsidRPr="00B54ECC">
        <w:rPr>
          <w:rFonts w:ascii="Garamond" w:hAnsi="Garamond"/>
          <w:sz w:val="22"/>
          <w:lang w:val="id-ID"/>
        </w:rPr>
        <w:t xml:space="preserve"> the use of medicinal plants should also encompass safety and ethics aspects in natural medicine usage</w:t>
      </w:r>
      <w:r w:rsidRPr="00B54ECC">
        <w:rPr>
          <w:rFonts w:ascii="Garamond" w:hAnsi="Garamond"/>
          <w:sz w:val="22"/>
        </w:rPr>
        <w:t xml:space="preserve"> </w:t>
      </w:r>
      <w:bookmarkStart w:id="13" w:name="_Hlk145844817"/>
      <w:r w:rsidRPr="00B54ECC">
        <w:rPr>
          <w:rFonts w:ascii="Garamond" w:hAnsi="Garamond"/>
          <w:sz w:val="22"/>
        </w:rPr>
        <w:fldChar w:fldCharType="begin" w:fldLock="1"/>
      </w:r>
      <w:r w:rsidRPr="00B54ECC">
        <w:rPr>
          <w:rFonts w:ascii="Garamond" w:hAnsi="Garamond"/>
          <w:sz w:val="22"/>
        </w:rPr>
        <w:instrText>ADDIN CSL_CITATION {"citationItems":[{"id":"ITEM-1","itemData":{"DOI":"10.1016/j.sjbs.2023.103561","ISSN":"1319562X","abstract":"COVID-19 is a pulmonary disease caused by SARS-CoV-2. More than 200 million individuals are infected by this globally. Pyrexia, coughing, shortness of breath, headaches, diarrhoea, sore throats, and body aches are among the typical symptoms of COVID-19. The virus enters into the host body by interacting with the ACE2 receptor. Despite many SARS-CoV-2 vaccines manufactured by distinct strategies but any evidence-based particular medication to combat COVID-19 is not available yet. However, further research is required to determine the safety and effectiveness profile of the present therapeutic approaches. In this study, we provide a summary of Traditional Arabic or Islamic medicinal (TAIM) plants' historical use and their present role as adjuvant therapy for COVID-19. Herein, six medicinal plants Aloe barbadensis Miller, Olea europaea, Trigonella foenum-graecum, Nigella sativa, Cassia angustifolia, and Ficus carica have been studied based upon their pharmacological activities against viral infections. These plants include phytochemicals that have antiviral, immunomodulatory, antiasthmatic, antipyretic, and antitussive properties. These bioactive substances could be employed to control symptoms and enhance the development of a possible COVID-19 medicinal synthesis. To determine whether or if these TAIMs may be used as adjuvant therapy and are appropriate, a detailed evaluation is advised.","author":[{"dropping-particle":"","family":"Ahmed","given":"Shabina Ishtiaq","non-dropping-particle":"","parse-names":false,"suffix":""},{"dropping-particle":"","family":"Jamil","given":"Sehrish","non-dropping-particle":"","parse-names":false,"suffix":""},{"dropping-particle":"","family":"Ismatullah","given":"Humaira","non-dropping-particle":"","parse-names":false,"suffix":""},{"dropping-particle":"","family":"Hussain","given":"Rashid","non-dropping-particle":"","parse-names":false,"suffix":""},{"dropping-particle":"","family":"Bibi","given":"Shabana","non-dropping-particle":"","parse-names":false,"suffix":""},{"dropping-particle":"","family":"Khandaker","given":"Mayeen Uddin","non-dropping-particle":"","parse-names":false,"suffix":""},{"dropping-particle":"","family":"Naveed","given":"Aisha","non-dropping-particle":"","parse-names":false,"suffix":""},{"dropping-particle":"","family":"Idris","given":"Abubakr M.","non-dropping-particle":"","parse-names":false,"suffix":""},{"dropping-particle":"Bin","family":"Emran","given":"Talha","non-dropping-particle":"","parse-names":false,"suffix":""}],"container-title":"Saudi Journal of Biological Sciences","id":"ITEM-1","issue":"3","issued":{"date-parts":[["2023"]]},"page":"103561","publisher":"The Author(s)","title":"A comprehensive perspective of traditional Arabic or Islamic medicinal plants as an adjuvant therapy against COVID-19","type":"article-journal","volume":"30"},"uris":["http://www.mendeley.com/documents/?uuid=f71a504c-1eaf-4729-be8d-49d380c13962"]}],"mendeley":{"formattedCitation":"(Ahmed et al., 2023)","plainTextFormattedCitation":"(Ahmed et al., 2023)","previouslyFormattedCitation":"(Ahmed et al.,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(Ahmed et al., 2023)</w:t>
      </w:r>
      <w:r w:rsidRPr="00B54ECC">
        <w:rPr>
          <w:rFonts w:ascii="Garamond" w:hAnsi="Garamond"/>
          <w:sz w:val="22"/>
        </w:rPr>
        <w:fldChar w:fldCharType="end"/>
      </w:r>
      <w:r w:rsidRPr="00B54ECC">
        <w:rPr>
          <w:rFonts w:ascii="Garamond" w:hAnsi="Garamond"/>
          <w:sz w:val="22"/>
          <w:lang w:val="id-ID"/>
        </w:rPr>
        <w:t xml:space="preserve">. </w:t>
      </w:r>
      <w:bookmarkEnd w:id="13"/>
      <w:r w:rsidRPr="00B54ECC">
        <w:rPr>
          <w:rFonts w:ascii="Garamond" w:hAnsi="Garamond"/>
          <w:sz w:val="22"/>
          <w:lang w:val="id-ID"/>
        </w:rPr>
        <w:t xml:space="preserve">To address these challenges, it is crucial to design learning </w:t>
      </w:r>
      <w:r w:rsidRPr="00B54ECC">
        <w:rPr>
          <w:rFonts w:ascii="Garamond" w:hAnsi="Garamond"/>
          <w:sz w:val="22"/>
          <w:lang w:val="id-ID"/>
        </w:rPr>
        <w:lastRenderedPageBreak/>
        <w:t>programs that align with students' comprehension levels, incorporate high-quality resources, and leverage innovative teaching methods and technology. Additionally, collaborating with experts in botany, pharmacy, or ethnobotany can enrich students' learning experiences and provide deeper insights into medicinal plants.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 xml:space="preserve">The study results </w:t>
      </w:r>
      <w:bookmarkStart w:id="14" w:name="_Hlk145844850"/>
      <w:r w:rsidRPr="00B54ECC">
        <w:rPr>
          <w:rFonts w:ascii="Garamond" w:hAnsi="Garamond"/>
          <w:sz w:val="22"/>
          <w:lang w:val="id-ID"/>
        </w:rPr>
        <w:fldChar w:fldCharType="begin" w:fldLock="1"/>
      </w:r>
      <w:r w:rsidRPr="00B54ECC">
        <w:rPr>
          <w:rFonts w:ascii="Garamond" w:hAnsi="Garamond"/>
          <w:sz w:val="22"/>
          <w:lang w:val="id-ID"/>
        </w:rPr>
        <w:instrText>ADDIN CSL_CITATION {"citationItems":[{"id":"ITEM-1","itemData":{"DOI":"10.1016/j.pld.2020.09.004","ISSN":"24682659","abstract":"The Buyi are a socio-linguistic group in Yunnan Province of southwest China that have a long history of using medicinal plants as part of their indigenous medical system. Given the limited written documentation of the Buyi indigenous medical system, the objective of this paper is to document the medicinal plants of the Buyi and associated traditional knowledge and transmission. Field research was conducted in four villages in Lubuge Township of Luoping County in Yunnan Province using ethnobotanical methodologies including participatory observation, semi-structured interviews, key informant interviews, and focus group discussions to elicit information on medicinal plants. In total, 120 informants (including 15 key informants who are healers) were interviewed. This study found that a total of 121 medicinal plant species belonging to 64 families are used by the Buyi including by local healers to treat different diseases. Among the medicinal plants recorded in this study, 56 species (46%) have not previously been documented in the scientific literature as having medicinal value, highlighting the pressing need for ethnobotanical documentation in indigenous communities. The most frequently used medicinal part was the leaf (24.9% of documented plants), and the most common preparation method was decoction (62.8% of medicinal). Medicinal plants were mainly used to treat rheumatism (12.4% of plants), trauma and injuries (9.6%). The documented plants are also used for other non-medicinal purposes including food, fodder, fencing, and ornamental. In addition, 35 of the medicinal plants are considered poisonous and are used by local Buyi healers for medicine. The traditional Buyi beliefs and practices associated with the documented medicinal plants likely contributes to their conservation in the environments and around Buyi communities. This study further highlights that ethnomedicinal knowledge of the Buyi is at risk of disappearing due to increased introduction and use of modern medicine in Buyi communities, livelihood changes, rapid modernization, and urbanization. Research, policy, and community programs are urgently needed to conserve the biocultural diversity associated with the Buyi medical system including ethnobotanical knowledge towards supporting both environmental and human wellbeing.","author":[{"dropping-particle":"","family":"Xiong","given":"Yong","non-dropping-particle":"","parse-names":false,"suffix":""},{"dropping-particle":"","family":"Sui","given":"Xueyi","non-dropping-particle":"","parse-names":false,"suffix":""},{"dropping-particle":"","family":"Ahmed","given":"Selena","non-dropping-particle":"","parse-names":false,"suffix":""},{"dropping-particle":"","family":"Wang","given":"Zhi","non-dropping-particle":"","parse-names":false,"suffix":""},{"dropping-particle":"","family":"Long","given":"Chunlin","non-dropping-particle":"","parse-names":false,"suffix":""}],"container-title":"Plant Diversity","id":"ITEM-1","issue":"6","issued":{"date-parts":[["2020"]]},"page":"401-414","publisher":"Elsevier Ltd","title":"Ethnobotany and diversity of medicinal plants used by the Buyi in eastern Yunnan, China","type":"article-journal","volume":"42"},"uris":["http://www.mendeley.com/documents/?uuid=32b0cfae-cf7c-4f47-890a-530be3006a38"]},{"id":"ITEM-2","itemData":{"DOI":"10.1016/j.gecco.2021.e01752","ISSN":"23519894","abstract":"Indonesia is a global hotspot of plant diversity. The country contains medicinal plants that have immense value to the people and worldwide. However, climate change is affecting the distribution of medicinal plants in Indonesia. In this study, the future greenhouse gas emission scenarios of RCP4.5 and RCP8.5 for a mid-term future projection to 2050 and a long-term future projection to 2080 were used to simulate the effect of climate change upon medicinal plants distribution within Indonesia. In 2050 and 2080, under both RCP scenarios species richness is expected to decrease over more than half the current distribution area of medicinal plant species. Over half of the medicinal plant species populations will lose up to 80% of their distribution area. Medicinal plant species on the islands of Papua, Java, and Sulawesi are predicted to have the largest reduction in distribution area. In addition, two-thirds of species will lose rather than gain areas of suitable climate under the future climate scenarios. Twenty medicinal plant species are identified as potentially being the most threatened by climate change in the future and are therefore the highest priority for conservation actions within Indonesia. Using these results, we recommend areas and species suitable for long term in situ and ex situ conservation within Indonesia.","author":[{"dropping-particle":"","family":"Cahyaningsih","given":"Ria","non-dropping-particle":"","parse-names":false,"suffix":""},{"dropping-particle":"","family":"Phillips","given":"Jade","non-dropping-particle":"","parse-names":false,"suffix":""},{"dropping-particle":"","family":"Magos Brehm","given":"Joana","non-dropping-particle":"","parse-names":false,"suffix":""},{"dropping-particle":"","family":"Gaisberger","given":"Hannes","non-dropping-particle":"","parse-names":false,"suffix":""},{"dropping-particle":"","family":"Maxted","given":"Nigel","non-dropping-particle":"","parse-names":false,"suffix":""}],"container-title":"Global Ecology and Conservation","id":"ITEM-2","issue":"August","issued":{"date-parts":[["2021"]]},"page":"e01752","publisher":"Elsevier B.V.","title":"Climate change impact on medicinal plants in Indonesia","type":"article-journal","volume":"30"},"uris":["http://www.mendeley.com/documents/?uuid=932da466-8267-45dc-9243-d3a946e298eb"]}],"mendeley":{"formattedCitation":"(Cahyaningsih, Phillips, et al., 2021; Xiong et al., 2020)","plainTextFormattedCitation":"(Cahyaningsih, Phillips, et al., 2021; Xiong et al., 2020)","previouslyFormattedCitation":"(Cahyaningsih, Phillips, et al., 2021; Xiong et al., 2020)"},"properties":{"noteIndex":0},"schema":"https://github.com/citation-style-language/schema/raw/master/csl-citation.json"}</w:instrText>
      </w:r>
      <w:r w:rsidRPr="00B54ECC">
        <w:rPr>
          <w:rFonts w:ascii="Garamond" w:hAnsi="Garamond"/>
          <w:sz w:val="22"/>
          <w:lang w:val="id-ID"/>
        </w:rPr>
        <w:fldChar w:fldCharType="separate"/>
      </w:r>
      <w:r w:rsidRPr="00B54ECC">
        <w:rPr>
          <w:rFonts w:ascii="Garamond" w:hAnsi="Garamond"/>
          <w:noProof/>
          <w:sz w:val="22"/>
          <w:lang w:val="id-ID"/>
        </w:rPr>
        <w:t>(Cahyaningsih, Phillips, et al., 2021; Xiong et al., 2020)</w:t>
      </w:r>
      <w:r w:rsidRPr="00B54ECC">
        <w:rPr>
          <w:rFonts w:ascii="Garamond" w:hAnsi="Garamond"/>
          <w:sz w:val="22"/>
        </w:rPr>
        <w:fldChar w:fldCharType="end"/>
      </w:r>
      <w:r w:rsidRPr="00B54ECC">
        <w:rPr>
          <w:rFonts w:ascii="Garamond" w:hAnsi="Garamond"/>
          <w:sz w:val="22"/>
        </w:rPr>
        <w:t xml:space="preserve"> </w:t>
      </w:r>
      <w:bookmarkEnd w:id="14"/>
      <w:r w:rsidRPr="00B54ECC">
        <w:rPr>
          <w:rFonts w:ascii="Garamond" w:hAnsi="Garamond"/>
          <w:sz w:val="22"/>
          <w:lang w:val="id-ID"/>
        </w:rPr>
        <w:t>have underscored the importance of the diversity of medicinal plants in various cultures and environments. Medicinal plants not only hold medical value but also possess ecological and cultural significance</w:t>
      </w:r>
      <w:bookmarkStart w:id="15" w:name="_Hlk145844877"/>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{"citationItems":[{"id":"ITEM-1","itemData":{"DOI":"10.1016/j.lcsi.2019.100333","ISSN":"22106561","abstract":"Children's learning is organized and supported by the cultural communities in which the children participate. This study builds on the paradigm of Learning by Observing and Pitching In (LOPI) to explore how Yucatec Maya children (ages 7 to 12) describe and understand their learning process, illustrated by how they learn about medicinal plants. Using semi-structured interviews, children identified the use of 16 medicinal plants used to cure common illnesses in their community, including skin, respiratory, or digestive problems. Children's most prevalent learning approaches in our sample were observing adults using medicinal plants, listening to related conversations during preparation, asking clarifying questions, and collecting medicinal plants. Their own experience with illness was a source of knowledge and an opportunity to learn about plants' uses and preparation. Children's motivation to contribute seemed pivotal in their learning process. Full integration into the community facilitated their acquisition of medicinal plant knowledge through a gradual learning process guided by their interest to help others. These findings highlight the need to understand how learning is a culturally organized activity, as well as the need to recognize children as active agents in their own development.","author":[{"dropping-particle":"","family":"Jiménez-Balam","given":"Deira","non-dropping-particle":"","parse-names":false,"suffix":""},{"dropping-particle":"","family":"Alcalá","given":"Lucía","non-dropping-particle":"","parse-names":false,"suffix":""},{"dropping-particle":"","family":"Salgado","given":"Dania","non-dropping-particle":"","parse-names":false,"suffix":""}],"container-title":"Learning, Culture and Social Interaction","id":"ITEM-1","issue":"June","issued":{"date-parts":[["2019"]]},"page":"100333","publisher":"Elsevier","title":"Maya children's medicinal plant knowledge: Initiative and agency in their learning process","type":"article-journal","volume":"22"},"uris":["http://www.mendeley.com/documents/?uuid=fdb8e26c-edb3-40e8-96d5-828e1a055fb5"]}],"mendeley":{"formattedCitation":"(Jiménez-Balam et al., 2019)","plainTextFormattedCitation":"(Jiménez-Balam et al., 2019)","previouslyFormattedCitation":"(Jiménez-Balam et al.,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(Jiménez-Balam et al., 2019)</w:t>
      </w:r>
      <w:r w:rsidRPr="00B54ECC">
        <w:rPr>
          <w:rFonts w:ascii="Garamond" w:hAnsi="Garamond"/>
          <w:sz w:val="22"/>
        </w:rPr>
        <w:fldChar w:fldCharType="end"/>
      </w:r>
      <w:r w:rsidRPr="00B54ECC">
        <w:rPr>
          <w:rFonts w:ascii="Garamond" w:hAnsi="Garamond"/>
          <w:sz w:val="22"/>
          <w:lang w:val="id-ID"/>
        </w:rPr>
        <w:t xml:space="preserve">. </w:t>
      </w:r>
      <w:bookmarkEnd w:id="15"/>
      <w:r w:rsidRPr="00B54ECC">
        <w:rPr>
          <w:rFonts w:ascii="Garamond" w:hAnsi="Garamond"/>
          <w:sz w:val="22"/>
          <w:lang w:val="id-ID"/>
        </w:rPr>
        <w:t xml:space="preserve">Therefore, integrating medicinal plant material into biology education can help students understand their value and vital roles in human life and ecosystems. The research findings align with </w:t>
      </w:r>
      <w:bookmarkStart w:id="16" w:name="_Hlk145844926"/>
      <w:r w:rsidRPr="00B54ECC">
        <w:rPr>
          <w:rFonts w:ascii="Garamond" w:hAnsi="Garamond"/>
          <w:sz w:val="22"/>
          <w:lang w:val="id-ID"/>
        </w:rPr>
        <w:fldChar w:fldCharType="begin" w:fldLock="1"/>
      </w:r>
      <w:r w:rsidRPr="00B54ECC">
        <w:rPr>
          <w:rFonts w:ascii="Garamond" w:hAnsi="Garamond"/>
          <w:sz w:val="22"/>
          <w:lang w:val="id-ID"/>
        </w:rPr>
        <w:instrText>ADDIN CSL_CITATION {"citationItems":[{"id":"ITEM-1","itemData":{"DOI":"10.1186/s12906-022-03783-y","ISSN":"26627671","PMID":"36482398","abstract":"Background: Herbal medicines, derived from medicinal plants, are among the most popular alternative remedies around the globe. In Saudi Arabia, herbal medicines are extensively used by public as part of the culture as well as religious norms. Therefore, this study aimed to evaluate knowledge, attitudes, and practices regarding herbal medicines among the general population in Saudi Arabia. Methods: A descriptive cross-sectional survey study was conducted on the general population of Jeddah city with the help of a validated and self-administered questionnaire. Sample size was calculated to be 450 with subjects between 20 and 60 years of either gender. Descriptive and inferential statistical analysis was performed using SPSS. Results: Results of our data showed that 173 (42.2%) of the total participants used herbal medicines, however, significant association was found between female gender and the usage of herbal medicines (p &lt; 0.001). Approximately, more than half (56.0%) of the respondents agreed that herbal medicines could be used to promote health and treat illnesses, and 45% respondents agreed that herbal medicines are safe. 153 (37.4%) of the participants opined that herbal medicines could be taken with conventional or allopathic medicine. The data also showed a significant (p &lt; 0.05) association between knowledge about the source of herbal medicine and gender where females were found to have more knowledge compared to males. Moreover, a significantly higher number of chronic disease patients were using herbal medicines compared to individuals with no medical problems (p &lt; 0.001). Strikingly, majority (n = 204; 49.9%) of the respondents used herbal medicines as a first choice when sick, while a good number (n = 172; 42.1%) of respondents did not consult doctors before taking herbal medicines. Conclusion: The use of herbal medicines is common among the general population of Jeddah. Although most of the participants believed that the herbal medicines are safe and do not require consultation, there is a dire need to increase awareness as well as to establish effective strategies to evaluate the safety, efficacy and quality of the herbal medicines for propitious consequences of this commonly used entity in the local society.","author":[{"dropping-particle":"","family":"Zaidi","given":"Syed Faisal","non-dropping-particle":"","parse-names":false,"suffix":""},{"dropping-particle":"","family":"Saeed","given":"Sheikh Abdul","non-dropping-particle":"","parse-names":false,"suffix":""},{"dropping-particle":"","family":"Khan","given":"Muhammad Anwar","non-dropping-particle":"","parse-names":false,"suffix":""},{"dropping-particle":"","family":"Khan","given":"Aslam","non-dropping-particle":"","parse-names":false,"suffix":""},{"dropping-particle":"","family":"Hazazi","given":"Yaqoub","non-dropping-particle":"","parse-names":false,"suffix":""},{"dropping-particle":"","family":"Otayn","given":"Mohammed","non-dropping-particle":"","parse-names":false,"suffix":""},{"dropping-particle":"","family":"Rabah","given":"Mohammed","non-dropping-particle":"","parse-names":false,"suffix":""},{"dropping-particle":"","family":"Daniyal","given":"Muhammad","non-dropping-particle":"","parse-names":false,"suffix":""}],"container-title":"BMC Complementary Medicine and Therapies","id":"ITEM-1","issue":"1","issued":{"date-parts":[["2022"]]},"page":"1-15","title":"Public knowledge, attitudes, and practices towards herbal medicines; a cross-sectional study in Western Saudi Arabia","type":"article-journal","volume":"22"},"uris":["http://www.mendeley.com/documents/?uuid=7dd63fc2-5802-455c-b5b0-75cbfb7a4d54"]}],"mendeley":{"formattedCitation":"(Zaidi et al., 2022)","plainTextFormattedCitation":"(Zaidi et al., 2022)","previouslyFormattedCitation":"(Zaidi et al., 2022)"},"properties":{"noteIndex":0},"schema":"https://github.com/citation-style-language/schema/raw/master/csl-citation.json"}</w:instrText>
      </w:r>
      <w:r w:rsidRPr="00B54ECC">
        <w:rPr>
          <w:rFonts w:ascii="Garamond" w:hAnsi="Garamond"/>
          <w:sz w:val="22"/>
          <w:lang w:val="id-ID"/>
        </w:rPr>
        <w:fldChar w:fldCharType="separate"/>
      </w:r>
      <w:r w:rsidRPr="00B54ECC">
        <w:rPr>
          <w:rFonts w:ascii="Garamond" w:hAnsi="Garamond"/>
          <w:noProof/>
          <w:sz w:val="22"/>
          <w:lang w:val="id-ID"/>
        </w:rPr>
        <w:t>(Zaidi et al., 2022)</w:t>
      </w:r>
      <w:r w:rsidRPr="00B54ECC">
        <w:rPr>
          <w:rFonts w:ascii="Garamond" w:hAnsi="Garamond"/>
          <w:sz w:val="22"/>
        </w:rPr>
        <w:fldChar w:fldCharType="end"/>
      </w:r>
      <w:r w:rsidRPr="00B54ECC">
        <w:rPr>
          <w:rFonts w:ascii="Garamond" w:hAnsi="Garamond"/>
          <w:sz w:val="22"/>
        </w:rPr>
        <w:t xml:space="preserve"> </w:t>
      </w:r>
      <w:bookmarkEnd w:id="16"/>
      <w:r w:rsidRPr="00B54ECC">
        <w:rPr>
          <w:rFonts w:ascii="Garamond" w:hAnsi="Garamond"/>
          <w:sz w:val="22"/>
          <w:lang w:val="id-ID"/>
        </w:rPr>
        <w:t>studies indicating that many medicinal plants have significant therapeutic potential. Integrating medicinal plant material into biology education can enable students to comprehend the chemical and biological properties of these plants and their potential in healthcare and maintenance of well-being.</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 xml:space="preserve">Previous research </w:t>
      </w:r>
      <w:r w:rsidRPr="00B54ECC">
        <w:rPr>
          <w:rFonts w:ascii="Garamond" w:hAnsi="Garamond"/>
          <w:sz w:val="22"/>
          <w:lang w:val="id-ID"/>
        </w:rPr>
        <w:fldChar w:fldCharType="begin" w:fldLock="1"/>
      </w:r>
      <w:r w:rsidRPr="00B54ECC">
        <w:rPr>
          <w:rFonts w:ascii="Garamond" w:hAnsi="Garamond"/>
          <w:sz w:val="22"/>
          <w:lang w:val="id-ID"/>
        </w:rPr>
        <w:instrText>ADDIN CSL_CITATION {"citationItems":[{"id":"ITEM-1","itemData":{"DOI":"10.1016/j.pld.2020.09.004","ISSN":"24682659","abstract":"The Buyi are a socio-linguistic group in Yunnan Province of southwest China that have a long history of using medicinal plants as part of their indigenous medical system. Given the limited written documentation of the Buyi indigenous medical system, the objective of this paper is to document the medicinal plants of the Buyi and associated traditional knowledge and transmission. Field research was conducted in four villages in Lubuge Township of Luoping County in Yunnan Province using ethnobotanical methodologies including participatory observation, semi-structured interviews, key informant interviews, and focus group discussions to elicit information on medicinal plants. In total, 120 informants (including 15 key informants who are healers) were interviewed. This study found that a total of 121 medicinal plant species belonging to 64 families are used by the Buyi including by local healers to treat different diseases. Among the medicinal plants recorded in this study, 56 species (46%) have not previously been documented in the scientific literature as having medicinal value, highlighting the pressing need for ethnobotanical documentation in indigenous communities. The most frequently used medicinal part was the leaf (24.9% of documented plants), and the most common preparation method was decoction (62.8% of medicinal). Medicinal plants were mainly used to treat rheumatism (12.4% of plants), trauma and injuries (9.6%). The documented plants are also used for other non-medicinal purposes including food, fodder, fencing, and ornamental. In addition, 35 of the medicinal plants are considered poisonous and are used by local Buyi healers for medicine. The traditional Buyi beliefs and practices associated with the documented medicinal plants likely contributes to their conservation in the environments and around Buyi communities. This study further highlights that ethnomedicinal knowledge of the Buyi is at risk of disappearing due to increased introduction and use of modern medicine in Buyi communities, livelihood changes, rapid modernization, and urbanization. Research, policy, and community programs are urgently needed to conserve the biocultural diversity associated with the Buyi medical system including ethnobotanical knowledge towards supporting both environmental and human wellbeing.","author":[{"dropping-particle":"","family":"Xiong","given":"Yong","non-dropping-particle":"","parse-names":false,"suffix":""},{"dropping-particle":"","family":"Sui","given":"Xueyi","non-dropping-particle":"","parse-names":false,"suffix":""},{"dropping-particle":"","family":"Ahmed","given":"Selena","non-dropping-particle":"","parse-names":false,"suffix":""},{"dropping-particle":"","family":"Wang","given":"Zhi","non-dropping-particle":"","parse-names":false,"suffix":""},{"dropping-particle":"","family":"Long","given":"Chunlin","non-dropping-particle":"","parse-names":false,"suffix":""}],"container-title":"Plant Diversity","id":"ITEM-1","issue":"6","issued":{"date-parts":[["2020"]]},"page":"401-414","publisher":"Elsevier Ltd","title":"Ethnobotany and diversity of medicinal plants used by the Buyi in eastern Yunnan, China","type":"article-journal","volume":"42"},"uris":["http://www.mendeley.com/documents/?uuid=32b0cfae-cf7c-4f47-890a-530be3006a38"]},{"id":"ITEM-2","itemData":{"DOI":"10.1016/j.gecco.2021.e01752","ISSN":"23519894","abstract":"Indonesia is a global hotspot of plant diversity. The country contains medicinal plants that have immense value to the people and worldwide. However, climate change is affecting the distribution of medicinal plants in Indonesia. In this study, the future greenhouse gas emission scenarios of RCP4.5 and RCP8.5 for a mid-term future projection to 2050 and a long-term future projection to 2080 were used to simulate the effect of climate change upon medicinal plants distribution within Indonesia. In 2050 and 2080, under both RCP scenarios species richness is expected to decrease over more than half the current distribution area of medicinal plant species. Over half of the medicinal plant species populations will lose up to 80% of their distribution area. Medicinal plant species on the islands of Papua, Java, and Sulawesi are predicted to have the largest reduction in distribution area. In addition, two-thirds of species will lose rather than gain areas of suitable climate under the future climate scenarios. Twenty medicinal plant species are identified as potentially being the most threatened by climate change in the future and are therefore the highest priority for conservation actions within Indonesia. Using these results, we recommend areas and species suitable for long term in situ and ex situ conservation within Indonesia.","author":[{"dropping-particle":"","family":"Cahyaningsih","given":"Ria","non-dropping-particle":"","parse-names":false,"suffix":""},{"dropping-particle":"","family":"Phillips","given":"Jade","non-dropping-particle":"","parse-names":false,"suffix":""},{"dropping-particle":"","family":"Magos Brehm","given":"Joana","non-dropping-particle":"","parse-names":false,"suffix":""},{"dropping-particle":"","family":"Gaisberger","given":"Hannes","non-dropping-particle":"","parse-names":false,"suffix":""},{"dropping-particle":"","family":"Maxted","given":"Nigel","non-dropping-particle":"","parse-names":false,"suffix":""}],"container-title":"Global Ecology and Conservation","id":"ITEM-2","issue":"August","issued":{"date-parts":[["2021"]]},"page":"e01752","publisher":"Elsevier B.V.","title":"Climate change impact on medicinal plants in Indonesia","type":"article-journal","volume":"30"},"uris":["http://www.mendeley.com/documents/?uuid=932da466-8267-45dc-9243-d3a946e298eb"]}],"mendeley":{"formattedCitation":"(Cahyaningsih, Phillips, et al., 2021; Xiong et al., 2020)","plainTextFormattedCitation":"(Cahyaningsih, Phillips, et al., 2021; Xiong et al., 2020)","previouslyFormattedCitation":"(Cahyaningsih, Phillips, et al., 2021; Xiong et al., 2020)"},"properties":{"noteIndex":0},"schema":"https://github.com/citation-style-language/schema/raw/master/csl-citation.json"}</w:instrText>
      </w:r>
      <w:r w:rsidRPr="00B54ECC">
        <w:rPr>
          <w:rFonts w:ascii="Garamond" w:hAnsi="Garamond"/>
          <w:sz w:val="22"/>
          <w:lang w:val="id-ID"/>
        </w:rPr>
        <w:fldChar w:fldCharType="separate"/>
      </w:r>
      <w:r w:rsidRPr="00B54ECC">
        <w:rPr>
          <w:rFonts w:ascii="Garamond" w:hAnsi="Garamond"/>
          <w:noProof/>
          <w:sz w:val="22"/>
          <w:lang w:val="id-ID"/>
        </w:rPr>
        <w:t>(Cahyaningsih, Phillips, et al., 2021; Xiong et al., 2020)</w:t>
      </w:r>
      <w:r w:rsidRPr="00B54ECC">
        <w:rPr>
          <w:rFonts w:ascii="Garamond" w:hAnsi="Garamond"/>
          <w:sz w:val="22"/>
        </w:rPr>
        <w:fldChar w:fldCharType="end"/>
      </w:r>
      <w:r w:rsidRPr="00B54ECC">
        <w:rPr>
          <w:rFonts w:ascii="Garamond" w:hAnsi="Garamond"/>
          <w:sz w:val="22"/>
        </w:rPr>
        <w:t xml:space="preserve"> </w:t>
      </w:r>
      <w:r w:rsidRPr="00B54ECC">
        <w:rPr>
          <w:rFonts w:ascii="Garamond" w:hAnsi="Garamond"/>
          <w:sz w:val="22"/>
          <w:lang w:val="id-ID"/>
        </w:rPr>
        <w:t>outcomes have emphasized the importance of conserving medicinal plants and efforts to preserve biodiversity. Integrating medicinal plant material into the biology curriculum can help students understand the challenges and strategies involved in preserving these plants, as well as the ecological impacts of overexploitation. The integration of medicinal plant material into biology education can make learning more engaging and relevant for students</w:t>
      </w:r>
      <w:r w:rsidRPr="00B54ECC">
        <w:rPr>
          <w:rFonts w:ascii="Garamond" w:hAnsi="Garamond"/>
          <w:sz w:val="22"/>
        </w:rPr>
        <w:t xml:space="preserve"> </w:t>
      </w:r>
      <w:r w:rsidRPr="00B54ECC">
        <w:rPr>
          <w:rFonts w:ascii="Garamond" w:hAnsi="Garamond"/>
          <w:sz w:val="22"/>
          <w:lang w:val="id-ID"/>
        </w:rPr>
        <w:fldChar w:fldCharType="begin" w:fldLock="1"/>
      </w:r>
      <w:r w:rsidRPr="00B54ECC">
        <w:rPr>
          <w:rFonts w:ascii="Garamond" w:hAnsi="Garamond"/>
          <w:sz w:val="22"/>
          <w:lang w:val="id-ID"/>
        </w:rPr>
        <w:instrText>ADDIN CSL_CITATION {"citationItems":[{"id":"ITEM-1","itemData":{"DOI":"10.1186/s12906-022-03783-y","ISSN":"26627671","PMID":"36482398","abstract":"Background: Herbal medicines, derived from medicinal plants, are among the most popular alternative remedies around the globe. In Saudi Arabia, herbal medicines are extensively used by public as part of the culture as well as religious norms. Therefore, this study aimed to evaluate knowledge, attitudes, and practices regarding herbal medicines among the general population in Saudi Arabia. Methods: A descriptive cross-sectional survey study was conducted on the general population of Jeddah city with the help of a validated and self-administered questionnaire. Sample size was calculated to be 450 with subjects between 20 and 60 years of either gender. Descriptive and inferential statistical analysis was performed using SPSS. Results: Results of our data showed that 173 (42.2%) of the total participants used herbal medicines, however, significant association was found between female gender and the usage of herbal medicines (p &lt; 0.001). Approximately, more than half (56.0%) of the respondents agreed that herbal medicines could be used to promote health and treat illnesses, and 45% respondents agreed that herbal medicines are safe. 153 (37.4%) of the participants opined that herbal medicines could be taken with conventional or allopathic medicine. The data also showed a significant (p &lt; 0.05) association between knowledge about the source of herbal medicine and gender where females were found to have more knowledge compared to males. Moreover, a significantly higher number of chronic disease patients were using herbal medicines compared to individuals with no medical problems (p &lt; 0.001). Strikingly, majority (n = 204; 49.9%) of the respondents used herbal medicines as a first choice when sick, while a good number (n = 172; 42.1%) of respondents did not consult doctors before taking herbal medicines. Conclusion: The use of herbal medicines is common among the general population of Jeddah. Although most of the participants believed that the herbal medicines are safe and do not require consultation, there is a dire need to increase awareness as well as to establish effective strategies to evaluate the safety, efficacy and quality of the herbal medicines for propitious consequences of this commonly used entity in the local society.","author":[{"dropping-particle":"","family":"Zaidi","given":"Syed Faisal","non-dropping-particle":"","parse-names":false,"suffix":""},{"dropping-particle":"","family":"Saeed","given":"Sheikh Abdul","non-dropping-particle":"","parse-names":false,"suffix":""},{"dropping-particle":"","family":"Khan","given":"Muhammad Anwar","non-dropping-particle":"","parse-names":false,"suffix":""},{"dropping-particle":"","family":"Khan","given":"Aslam","non-dropping-particle":"","parse-names":false,"suffix":""},{"dropping-particle":"","family":"Hazazi","given":"Yaqoub","non-dropping-particle":"","parse-names":false,"suffix":""},{"dropping-particle":"","family":"Otayn","given":"Mohammed","non-dropping-particle":"","parse-names":false,"suffix":""},{"dropping-particle":"","family":"Rabah","given":"Mohammed","non-dropping-particle":"","parse-names":false,"suffix":""},{"dropping-particle":"","family":"Daniyal","given":"Muhammad","non-dropping-particle":"","parse-names":false,"suffix":""}],"container-title":"BMC Complementary Medicine and Therapies","id":"ITEM-1","issue":"1","issued":{"date-parts":[["2022"]]},"page":"1-15","title":"Public knowledge, attitudes, and practices towards herbal medicines; a cross-sectional study in Western Saudi Arabia","type":"article-journal","volume":"22"},"uris":["http://www.mendeley.com/documents/?uuid=7dd63fc2-5802-455c-b5b0-75cbfb7a4d54"]}],"mendeley":{"formattedCitation":"(Zaidi et al., 2022)","plainTextFormattedCitation":"(Zaidi et al., 2022)","previouslyFormattedCitation":"(Zaidi et al., 2022)"},"properties":{"noteIndex":0},"schema":"https://github.com/citation-style-language/schema/raw/master/csl-citation.json"}</w:instrText>
      </w:r>
      <w:r w:rsidRPr="00B54ECC">
        <w:rPr>
          <w:rFonts w:ascii="Garamond" w:hAnsi="Garamond"/>
          <w:sz w:val="22"/>
          <w:lang w:val="id-ID"/>
        </w:rPr>
        <w:fldChar w:fldCharType="separate"/>
      </w:r>
      <w:r w:rsidRPr="00B54ECC">
        <w:rPr>
          <w:rFonts w:ascii="Garamond" w:hAnsi="Garamond"/>
          <w:noProof/>
          <w:sz w:val="22"/>
          <w:lang w:val="id-ID"/>
        </w:rPr>
        <w:t>(Zaidi et al., 2022)</w:t>
      </w:r>
      <w:r w:rsidRPr="00B54ECC">
        <w:rPr>
          <w:rFonts w:ascii="Garamond" w:hAnsi="Garamond"/>
          <w:sz w:val="22"/>
        </w:rPr>
        <w:fldChar w:fldCharType="end"/>
      </w:r>
      <w:r w:rsidRPr="00B54ECC">
        <w:rPr>
          <w:rFonts w:ascii="Garamond" w:hAnsi="Garamond"/>
          <w:sz w:val="22"/>
          <w:lang w:val="id-ID"/>
        </w:rPr>
        <w:t>. Studying medicinal plants can allow students to engage in practical experiments, field studies, and gain a deeper contextual understanding</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{"citationItems":[{"id":"ITEM-1","itemData":{"DOI":"10.1016/j.lcsi.2019.100333","ISSN":"22106561","abstract":"Children's learning is organized and supported by the cultural communities in which the children participate. This study builds on the paradigm of Learning by Observing and Pitching In (LOPI) to explore how Yucatec Maya children (ages 7 to 12) describe and understand their learning process, illustrated by how they learn about medicinal plants. Using semi-structured interviews, children identified the use of 16 medicinal plants used to cure common illnesses in their community, including skin, respiratory, or digestive problems. Children's most prevalent learning approaches in our sample were observing adults using medicinal plants, listening to related conversations during preparation, asking clarifying questions, and collecting medicinal plants. Their own experience with illness was a source of knowledge and an opportunity to learn about plants' uses and preparation. Children's motivation to contribute seemed pivotal in their learning process. Full integration into the community facilitated their acquisition of medicinal plant knowledge through a gradual learning process guided by their interest to help others. These findings highlight the need to understand how learning is a culturally organized activity, as well as the need to recognize children as active agents in their own development.","author":[{"dropping-particle":"","family":"Jiménez-Balam","given":"Deira","non-dropping-particle":"","parse-names":false,"suffix":""},{"dropping-particle":"","family":"Alcalá","given":"Lucía","non-dropping-particle":"","parse-names":false,"suffix":""},{"dropping-particle":"","family":"Salgado","given":"Dania","non-dropping-particle":"","parse-names":false,"suffix":""}],"container-title":"Learning, Culture and Social Interaction","id":"ITEM-1","issue":"June","issued":{"date-parts":[["2019"]]},"page":"100333","publisher":"Elsevier","title":"Maya children's medicinal plant knowledge: Initiative and agency in their learning process","type":"article-journal","volume":"22"},"uris":["http://www.mendeley.com/documents/?uuid=fdb8e26c-edb3-40e8-96d5-828e1a055fb5"]}],"mendeley":{"formattedCitation":"(Jiménez-Balam et al., 2019)","plainTextFormattedCitation":"(Jiménez-Balam et al., 2019)","previouslyFormattedCitation":"(Jiménez-Balam et al.,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(Jiménez-Balam et al., 2019)</w:t>
      </w:r>
      <w:r w:rsidRPr="00B54ECC">
        <w:rPr>
          <w:rFonts w:ascii="Garamond" w:hAnsi="Garamond"/>
          <w:sz w:val="22"/>
        </w:rPr>
        <w:fldChar w:fldCharType="end"/>
      </w:r>
      <w:r w:rsidRPr="00B54ECC">
        <w:rPr>
          <w:rFonts w:ascii="Garamond" w:hAnsi="Garamond"/>
          <w:sz w:val="22"/>
          <w:lang w:val="id-ID"/>
        </w:rPr>
        <w:t>.</w:t>
      </w:r>
    </w:p>
    <w:p w:rsidR="00A60AAA" w:rsidRPr="00B54ECC" w:rsidRDefault="00A60AAA" w:rsidP="00A60AAA">
      <w:pPr>
        <w:spacing w:before="280"/>
        <w:ind w:firstLine="0"/>
        <w:jc w:val="both"/>
        <w:rPr>
          <w:rFonts w:ascii="Garamond" w:hAnsi="Garamond"/>
          <w:sz w:val="22"/>
        </w:rPr>
      </w:pPr>
      <w:r w:rsidRPr="00B54ECC">
        <w:rPr>
          <w:rFonts w:ascii="Garamond" w:hAnsi="Garamond"/>
          <w:sz w:val="22"/>
          <w:lang w:val="id-ID"/>
        </w:rPr>
        <w:t>However, to optimize the effectiveness of this method, further research is needed to identify the best strategies, suitable learning tools, and effective approaches for integrating medicinal plants into the biology curriculum. Further research in this regard can provide valuable insights and guidance for educators and education policymakers. The research findings can be used to enhance the biology curriculum and develop more innovative and effective teaching models</w:t>
      </w:r>
      <w:r w:rsidRPr="00B54ECC">
        <w:rPr>
          <w:rFonts w:ascii="Garamond" w:hAnsi="Garamond"/>
          <w:sz w:val="22"/>
        </w:rPr>
        <w:t>.</w:t>
      </w:r>
    </w:p>
    <w:p w:rsidR="00A60AAA" w:rsidRPr="00B54ECC" w:rsidRDefault="00A60AAA" w:rsidP="00A60AAA">
      <w:pPr>
        <w:tabs>
          <w:tab w:val="center" w:pos="4394"/>
        </w:tabs>
        <w:spacing w:before="280"/>
        <w:ind w:firstLine="0"/>
        <w:jc w:val="both"/>
        <w:rPr>
          <w:rFonts w:ascii="Garamond" w:hAnsi="Garamond"/>
          <w:b/>
          <w:sz w:val="22"/>
        </w:rPr>
      </w:pPr>
      <w:r w:rsidRPr="00B54ECC">
        <w:rPr>
          <w:rFonts w:ascii="Garamond" w:hAnsi="Garamond"/>
          <w:b/>
          <w:bCs/>
          <w:sz w:val="22"/>
          <w:lang w:val="id-ID"/>
        </w:rPr>
        <w:t>METHODS</w:t>
      </w:r>
      <w:r w:rsidRPr="00B54ECC">
        <w:rPr>
          <w:rFonts w:ascii="Garamond" w:hAnsi="Garamond"/>
          <w:b/>
          <w:bCs/>
          <w:sz w:val="22"/>
          <w:lang w:val="id-ID"/>
        </w:rPr>
        <w:tab/>
      </w:r>
    </w:p>
    <w:p w:rsidR="00A60AAA" w:rsidRPr="00B54ECC" w:rsidRDefault="00A60AAA" w:rsidP="00A60AAA">
      <w:pPr>
        <w:spacing w:before="280"/>
        <w:ind w:firstLine="0"/>
        <w:jc w:val="both"/>
        <w:rPr>
          <w:rFonts w:ascii="Garamond" w:hAnsi="Garamond"/>
          <w:sz w:val="22"/>
        </w:rPr>
      </w:pPr>
      <w:r w:rsidRPr="00B54ECC">
        <w:rPr>
          <w:rFonts w:ascii="Garamond" w:hAnsi="Garamond"/>
          <w:sz w:val="22"/>
          <w:lang w:val="id-ID"/>
        </w:rPr>
        <w:t>The research employed a qualitative approach with a case study research design</w:t>
      </w:r>
      <w:r w:rsidRPr="00B54ECC">
        <w:rPr>
          <w:rFonts w:ascii="Garamond" w:hAnsi="Garamond"/>
          <w:sz w:val="22"/>
        </w:rPr>
        <w:t xml:space="preserve"> </w:t>
      </w:r>
      <w:bookmarkStart w:id="17" w:name="_Hlk145845370"/>
      <w:r w:rsidRPr="00B54ECC">
        <w:rPr>
          <w:rFonts w:ascii="Garamond" w:hAnsi="Garamond"/>
          <w:sz w:val="22"/>
        </w:rPr>
        <w:fldChar w:fldCharType="begin" w:fldLock="1"/>
      </w:r>
      <w:r w:rsidRPr="00B54ECC">
        <w:rPr>
          <w:rFonts w:ascii="Garamond" w:hAnsi="Garamond"/>
          <w:sz w:val="22"/>
        </w:rPr>
        <w:instrText>ADDIN CSL_CITATION {"citationItems":[{"id":"ITEM-1","itemData":{"ISBN":"9780131367395","author":[{"dropping-particle":"","family":"Creswell","given":"Jhon W","non-dropping-particle":"","parse-names":false,"suffix":""}],"edition":"4th ed.","id":"ITEM-1","issued":{"date-parts":[["2012"]]},"publisher":"Pearson Education","publisher-place":"New York","title":"Educational Research: Planning, Conducting and Evaluating Quantitative and Qualitative Research","type":"book"},"uris":["http://www.mendeley.com/documents/?uuid=780d9ac4-f21f-41d6-9226-620febf611d2"]}],"mendeley":{"formattedCitation":"(Creswell, 2012)","plainTextFormattedCitation":"(Creswell, 2012)","previouslyFormattedCitation":"(Creswell, 2012)"},"properties":{"noteIndex":0},"schema":"https://github.com/citation-style-language/schema/raw/master/csl-citation.json"}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(Creswell, 2012)</w:t>
      </w:r>
      <w:r w:rsidRPr="00B54ECC">
        <w:rPr>
          <w:rFonts w:ascii="Garamond" w:hAnsi="Garamond"/>
          <w:sz w:val="22"/>
        </w:rPr>
        <w:fldChar w:fldCharType="end"/>
      </w:r>
      <w:r w:rsidRPr="00B54ECC">
        <w:rPr>
          <w:rFonts w:ascii="Garamond" w:hAnsi="Garamond"/>
          <w:sz w:val="22"/>
          <w:lang w:val="id-ID"/>
        </w:rPr>
        <w:t xml:space="preserve">. </w:t>
      </w:r>
      <w:bookmarkEnd w:id="17"/>
      <w:r w:rsidRPr="00B54ECC">
        <w:rPr>
          <w:rFonts w:ascii="Garamond" w:hAnsi="Garamond"/>
          <w:sz w:val="22"/>
          <w:lang w:val="id-ID"/>
        </w:rPr>
        <w:t>The case study method allowed for an in-depth exploration of the implementation of biology education and the prospects for the development of medicinal plant materials in several schools, while the qualitative approach provided flexibility to explore the perspectives and experiences of educators, students, and relevant stakeholders. Qualitative research methods provided a profound understanding of the implementation of biology education and the prospects for the development of medicinal plant materials</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{"citationItems":[{"id":"ITEM-1","itemData":{"ISBN":"9780131367395","author":[{"dropping-particle":"","family":"Creswell","given":"Jhon W","non-dropping-particle":"","parse-names":false,"suffix":""}],"edition":"4th ed.","id":"ITEM-1","issued":{"date-parts":[["2012"]]},"publisher":"Pearson Education","publisher-place":"New York","title":"Educational Research: Planning, Conducting and Evaluating Quantitative and Qualitative Research","type":"book"},"uris":["http://www.mendeley.com/documents/?uuid=780d9ac4-f21f-41d6-9226-620febf611d2"]}],"mendeley":{"formattedCitation":"(Creswell, 2012)","plainTextFormattedCitation":"(Creswell, 2012)","previouslyFormattedCitation":"(Creswell, 2012)"},"properties":{"noteIndex":0},"schema":"https://github.com/citation-style-language/schema/raw/master/csl-citation.json"}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(Creswell, 2012)</w:t>
      </w:r>
      <w:r w:rsidRPr="00B54ECC">
        <w:rPr>
          <w:rFonts w:ascii="Garamond" w:hAnsi="Garamond"/>
          <w:sz w:val="22"/>
        </w:rPr>
        <w:fldChar w:fldCharType="end"/>
      </w:r>
      <w:r w:rsidRPr="00B54ECC">
        <w:rPr>
          <w:rFonts w:ascii="Garamond" w:hAnsi="Garamond"/>
          <w:sz w:val="22"/>
          <w:lang w:val="id-ID"/>
        </w:rPr>
        <w:t>, as well as identifying factors influencing its implementation through SWOT analysis. Therefore, this research is expected to offer practical guidance for enhancing more effective and efficient biology education</w:t>
      </w:r>
      <w:r w:rsidRPr="00B54ECC">
        <w:rPr>
          <w:rFonts w:ascii="Garamond" w:hAnsi="Garamond"/>
          <w:sz w:val="22"/>
        </w:rPr>
        <w:t>.</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This study was conducted in s</w:t>
      </w:r>
      <w:proofErr w:type="spellStart"/>
      <w:r w:rsidRPr="00B54ECC">
        <w:rPr>
          <w:rFonts w:ascii="Garamond" w:hAnsi="Garamond"/>
          <w:sz w:val="22"/>
        </w:rPr>
        <w:t>enior</w:t>
      </w:r>
      <w:proofErr w:type="spellEnd"/>
      <w:r w:rsidRPr="00B54ECC">
        <w:rPr>
          <w:rFonts w:ascii="Garamond" w:hAnsi="Garamond"/>
          <w:sz w:val="22"/>
          <w:lang w:val="id-ID"/>
        </w:rPr>
        <w:t xml:space="preserve"> high schools (SMA) located in Karanganyar. School selection was purposeful, taking into consideration variables such as the level of implementation success, geographic location, and student population diversity. Research participants included Biology teachers actively involved in teaching at the selected schools, students from biology classes who had undergone the learning process, and stakeholders involved in educational decision-making at the school and district levels.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 xml:space="preserve">The research instruments used in this study were interviews, observations, and document analysis. Semi-structured interviews were conducted with Biology teachers, students, and stakeholders to explore their perspectives and experiences related to the implementation of biology education and the prospects for the development of medicinal plant materials. Direct observations were utilized to examine how the </w:t>
      </w:r>
      <w:r w:rsidRPr="00B54ECC">
        <w:rPr>
          <w:rFonts w:ascii="Garamond" w:hAnsi="Garamond"/>
          <w:sz w:val="22"/>
          <w:lang w:val="id-ID"/>
        </w:rPr>
        <w:lastRenderedPageBreak/>
        <w:t>implementation of learning occurred within biology classrooms. Documents such as lesson plans, teaching materials, and learning evaluation results were analyzed to identify strengths and weaknesses.</w:t>
      </w:r>
    </w:p>
    <w:p w:rsidR="00A60AAA" w:rsidRPr="00B54ECC" w:rsidRDefault="00A60AAA" w:rsidP="00A60AAA">
      <w:pPr>
        <w:spacing w:before="280"/>
        <w:ind w:firstLine="0"/>
        <w:jc w:val="both"/>
        <w:rPr>
          <w:rFonts w:ascii="Garamond" w:hAnsi="Garamond"/>
          <w:sz w:val="22"/>
        </w:rPr>
      </w:pPr>
      <w:r w:rsidRPr="00B54ECC">
        <w:rPr>
          <w:rFonts w:ascii="Garamond" w:hAnsi="Garamond"/>
          <w:sz w:val="22"/>
          <w:lang w:val="id-ID"/>
        </w:rPr>
        <w:t>Qualitative data obtained from interviews, observations, and document analysis were analyzed using a content analysis approach. Findings were categorized into strengths, weaknesses, opportunities, and threats, commonly known as the SWOT analysis acronym</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{"citationItems":[{"id":"ITEM-1","itemData":{"DOI":"10.1016/j.lrp.2023.102304","ISSN":"18731872","abstract":"The origins of SWOT analysis have been enigmatic, until now. With archival research, interviews with experts and a review of the available literature, this paper reconstructs the original SOFT/SWOT approach, and draws potential implications. During a firm's planning process, all managers are asked to write down 8 to 10 key planning issues faced by their units. Each manager grades, with evidence, these issues as either safeguarding the Satisfactory; opening Opportunities; fixing Faults; or thwarting Threats: hence SOFT (which is later merely relabeled to Strengths, Weaknesses, Opportunities and Threats, or SWOT). Subgroups of managers have several dialogues about these issues with the instruction to include the needs and expectations of all the firm's stakeholders. Their developed resolutions or proposals become input for the executive planning committee to articulate corporate purpose(s) and strategies. SWOT's originator, Robert Franklin Stewart, emphasized the crucial role that creativity plays in the planning process. The SOFT/SWOT approach curbs mere top-down strategy making to the benefit of strategy alignment and implementation; Introducing digital means to parts of SWOT's original participative, long-range planning process, as suggested herein, could boost the effectiveness of organizational strategizing, communication and learning. Archival research into the deployment of SOFT/SWOT in practice is needed.","author":[{"dropping-particle":"","family":"Puyt","given":"Richard W.","non-dropping-particle":"","parse-names":false,"suffix":""},{"dropping-particle":"","family":"Lie","given":"Finn Birger","non-dropping-particle":"","parse-names":false,"suffix":""},{"dropping-particle":"","family":"Wilderom","given":"Celeste P.M.","non-dropping-particle":"","parse-names":false,"suffix":""}],"container-title":"Long Range Planning","id":"ITEM-1","issue":"3","issued":{"date-parts":[["2023"]]},"page":"102304","publisher":"Elsevier Ltd","title":"The origins of SWOT analysis","type":"article-journal","volume":"56"},"uris":["http://www.mendeley.com/documents/?uuid=06caad06-7498-4e33-9e25-89672126f1e4"]}],"mendeley":{"formattedCitation":"(Puyt et al., 2023)","plainTextFormattedCitation":"(Puyt et al., 2023)","previouslyFormattedCitation":"(Puyt et al.,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(Puyt et al., 2023)</w:t>
      </w:r>
      <w:r w:rsidRPr="00B54ECC">
        <w:rPr>
          <w:rFonts w:ascii="Garamond" w:hAnsi="Garamond"/>
          <w:sz w:val="22"/>
        </w:rPr>
        <w:fldChar w:fldCharType="end"/>
      </w:r>
      <w:r w:rsidRPr="00B54ECC">
        <w:rPr>
          <w:rFonts w:ascii="Garamond" w:hAnsi="Garamond"/>
          <w:sz w:val="22"/>
          <w:lang w:val="id-ID"/>
        </w:rPr>
        <w:t>. To ensure the validity and reliability of the research, data triangulation was employed, and peer researchers were asked to conduct cross-validation of the analysis performed. The research adhered to all research ethics principles, including obtaining permission from schools and informed consent from participants</w:t>
      </w:r>
      <w:r w:rsidRPr="00B54ECC">
        <w:rPr>
          <w:rFonts w:ascii="Garamond" w:hAnsi="Garamond"/>
          <w:sz w:val="22"/>
        </w:rPr>
        <w:t>.</w:t>
      </w:r>
    </w:p>
    <w:p w:rsidR="00A60AAA" w:rsidRPr="00B54ECC" w:rsidRDefault="00A60AAA" w:rsidP="00A60AAA">
      <w:pPr>
        <w:spacing w:before="280"/>
        <w:ind w:firstLine="0"/>
        <w:jc w:val="both"/>
        <w:rPr>
          <w:rFonts w:ascii="Garamond" w:hAnsi="Garamond"/>
          <w:b/>
          <w:sz w:val="22"/>
        </w:rPr>
      </w:pPr>
      <w:r w:rsidRPr="00B54ECC">
        <w:rPr>
          <w:rFonts w:ascii="Garamond" w:hAnsi="Garamond"/>
          <w:b/>
          <w:sz w:val="22"/>
        </w:rPr>
        <w:t>RESULTS AND DISCUSSION</w:t>
      </w:r>
    </w:p>
    <w:p w:rsidR="00A60AAA" w:rsidRPr="00B54ECC" w:rsidRDefault="00A60AAA" w:rsidP="00A60AAA">
      <w:pPr>
        <w:spacing w:before="280"/>
        <w:ind w:firstLine="0"/>
        <w:jc w:val="both"/>
        <w:rPr>
          <w:rFonts w:ascii="Garamond" w:hAnsi="Garamond"/>
          <w:sz w:val="22"/>
        </w:rPr>
      </w:pPr>
      <w:r w:rsidRPr="00B54ECC">
        <w:rPr>
          <w:rFonts w:ascii="Garamond" w:hAnsi="Garamond"/>
          <w:sz w:val="22"/>
        </w:rPr>
        <w:t>An evaluation study of the implementation of biology education that integrates medicinal plant materials in an effort to harness local potential can be analyzed using the SWOT approach. The results of the SWOT analysis can provide valuable insights to educators and policymakers in developing and improving approaches to integrating medicinal plant materials into biology education. The findings from the SWOT analysis can also help formulate an effective learning model to address challenges and capitalize on existing opportunities. The research results and discussions are presented in the following subsections.</w:t>
      </w:r>
    </w:p>
    <w:p w:rsidR="00A60AAA" w:rsidRPr="00B54ECC" w:rsidRDefault="00A60AAA" w:rsidP="00A60AAA">
      <w:pPr>
        <w:tabs>
          <w:tab w:val="num" w:pos="567"/>
        </w:tabs>
        <w:spacing w:before="280"/>
        <w:ind w:firstLine="0"/>
        <w:jc w:val="both"/>
        <w:rPr>
          <w:rFonts w:ascii="Garamond" w:hAnsi="Garamond"/>
          <w:b/>
          <w:sz w:val="22"/>
        </w:rPr>
      </w:pPr>
      <w:r w:rsidRPr="00B54ECC">
        <w:rPr>
          <w:rFonts w:ascii="Garamond" w:hAnsi="Garamond"/>
          <w:b/>
          <w:sz w:val="22"/>
        </w:rPr>
        <w:t>Strengths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Strengths are conditions that serve as an advantage within an organization</w:t>
      </w:r>
      <w:r w:rsidRPr="00B54ECC">
        <w:rPr>
          <w:rFonts w:ascii="Garamond" w:hAnsi="Garamond"/>
          <w:sz w:val="22"/>
        </w:rPr>
        <w:t xml:space="preserve"> </w:t>
      </w:r>
      <w:bookmarkStart w:id="18" w:name="_Hlk145845428"/>
      <w:r w:rsidRPr="00B54ECC">
        <w:rPr>
          <w:rFonts w:ascii="Garamond" w:hAnsi="Garamond"/>
          <w:sz w:val="22"/>
        </w:rPr>
        <w:fldChar w:fldCharType="begin" w:fldLock="1"/>
      </w:r>
      <w:r w:rsidRPr="00B54ECC">
        <w:rPr>
          <w:rFonts w:ascii="Garamond" w:hAnsi="Garamond"/>
          <w:sz w:val="22"/>
        </w:rPr>
        <w:instrText>ADDIN CSL_CITATION {"citationItems":[{"id":"ITEM-1","itemData":{"DOI":"10.1016/j.lrp.2023.102304","ISSN":"18731872","abstract":"The origins of SWOT analysis have been enigmatic, until now. With archival research, interviews with experts and a review of the available literature, this paper reconstructs the original SOFT/SWOT approach, and draws potential implications. During a firm's planning process, all managers are asked to write down 8 to 10 key planning issues faced by their units. Each manager grades, with evidence, these issues as either safeguarding the Satisfactory; opening Opportunities; fixing Faults; or thwarting Threats: hence SOFT (which is later merely relabeled to Strengths, Weaknesses, Opportunities and Threats, or SWOT). Subgroups of managers have several dialogues about these issues with the instruction to include the needs and expectations of all the firm's stakeholders. Their developed resolutions or proposals become input for the executive planning committee to articulate corporate purpose(s) and strategies. SWOT's originator, Robert Franklin Stewart, emphasized the crucial role that creativity plays in the planning process. The SOFT/SWOT approach curbs mere top-down strategy making to the benefit of strategy alignment and implementation; Introducing digital means to parts of SWOT's original participative, long-range planning process, as suggested herein, could boost the effectiveness of organizational strategizing, communication and learning. Archival research into the deployment of SOFT/SWOT in practice is needed.","author":[{"dropping-particle":"","family":"Puyt","given":"Richard W.","non-dropping-particle":"","parse-names":false,"suffix":""},{"dropping-particle":"","family":"Lie","given":"Finn Birger","non-dropping-particle":"","parse-names":false,"suffix":""},{"dropping-particle":"","family":"Wilderom","given":"Celeste P.M.","non-dropping-particle":"","parse-names":false,"suffix":""}],"container-title":"Long Range Planning","id":"ITEM-1","issue":"3","issued":{"date-parts":[["2023"]]},"page":"102304","publisher":"Elsevier Ltd","title":"The origins of SWOT analysis","type":"article-journal","volume":"56"},"uris":["http://www.mendeley.com/documents/?uuid=06caad06-7498-4e33-9e25-89672126f1e4"]}],"mendeley":{"formattedCitation":"(Puyt et al., 2023)","plainTextFormattedCitation":"(Puyt et al., 2023)","previouslyFormattedCitation":"(Puyt et al.,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(Puyt et al., 2023)</w:t>
      </w:r>
      <w:r w:rsidRPr="00B54ECC">
        <w:rPr>
          <w:rFonts w:ascii="Garamond" w:hAnsi="Garamond"/>
          <w:sz w:val="22"/>
        </w:rPr>
        <w:fldChar w:fldCharType="end"/>
      </w:r>
      <w:bookmarkEnd w:id="18"/>
      <w:r w:rsidRPr="00B54ECC">
        <w:rPr>
          <w:rFonts w:ascii="Garamond" w:hAnsi="Garamond"/>
          <w:sz w:val="22"/>
          <w:lang w:val="id-ID"/>
        </w:rPr>
        <w:t>. These strength factors represent a comparative advantage within an organization</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{"citationItems":[{"id":"ITEM-1","itemData":{"DOI":"10.1016/j.lrp.2023.102304","ISSN":"18731872","abstract":"The origins of SWOT analysis have been enigmatic, until now. With archival research, interviews with experts and a review of the available literature, this paper reconstructs the original SOFT/SWOT approach, and draws potential implications. During a firm's planning process, all managers are asked to write down 8 to 10 key planning issues faced by their units. Each manager grades, with evidence, these issues as either safeguarding the Satisfactory; opening Opportunities; fixing Faults; or thwarting Threats: hence SOFT (which is later merely relabeled to Strengths, Weaknesses, Opportunities and Threats, or SWOT). Subgroups of managers have several dialogues about these issues with the instruction to include the needs and expectations of all the firm's stakeholders. Their developed resolutions or proposals become input for the executive planning committee to articulate corporate purpose(s) and strategies. SWOT's originator, Robert Franklin Stewart, emphasized the crucial role that creativity plays in the planning process. The SOFT/SWOT approach curbs mere top-down strategy making to the benefit of strategy alignment and implementation; Introducing digital means to parts of SWOT's original participative, long-range planning process, as suggested herein, could boost the effectiveness of organizational strategizing, communication and learning. Archival research into the deployment of SOFT/SWOT in practice is needed.","author":[{"dropping-particle":"","family":"Puyt","given":"Richard W.","non-dropping-particle":"","parse-names":false,"suffix":""},{"dropping-particle":"","family":"Lie","given":"Finn Birger","non-dropping-particle":"","parse-names":false,"suffix":""},{"dropping-particle":"","family":"Wilderom","given":"Celeste P.M.","non-dropping-particle":"","parse-names":false,"suffix":""}],"container-title":"Long Range Planning","id":"ITEM-1","issue":"3","issued":{"date-parts":[["2023"]]},"page":"102304","publisher":"Elsevier Ltd","title":"The origins of SWOT analysis","type":"article-journal","volume":"56"},"uris":["http://www.mendeley.com/documents/?uuid=06caad06-7498-4e33-9e25-89672126f1e4"]}],"mendeley":{"formattedCitation":"(Puyt et al., 2023)","plainTextFormattedCitation":"(Puyt et al., 2023)","previouslyFormattedCitation":"(Puyt et al.,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(Puyt et al., 2023)</w:t>
      </w:r>
      <w:r w:rsidRPr="00B54ECC">
        <w:rPr>
          <w:rFonts w:ascii="Garamond" w:hAnsi="Garamond"/>
          <w:sz w:val="22"/>
        </w:rPr>
        <w:fldChar w:fldCharType="end"/>
      </w:r>
      <w:r w:rsidRPr="00B54ECC">
        <w:rPr>
          <w:rFonts w:ascii="Garamond" w:hAnsi="Garamond"/>
          <w:sz w:val="22"/>
          <w:lang w:val="id-ID"/>
        </w:rPr>
        <w:t>. These strength factors are a plus or a comparative advantage of an organization. The strengths referred to in this research are the advantages or something reciprocal related to the implementation of biology education and the prospects for the development of medicinal plant materials in schools.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Based on the observations regarding the advantages of implementing biology education at the high school level in Karanganyar, it was found that biology education can create: (1) effective teaching and learning activities</w:t>
      </w:r>
      <w:r w:rsidRPr="00B54ECC">
        <w:rPr>
          <w:rFonts w:ascii="Garamond" w:hAnsi="Garamond"/>
          <w:sz w:val="22"/>
        </w:rPr>
        <w:t xml:space="preserve"> </w:t>
      </w:r>
      <w:bookmarkStart w:id="19" w:name="_Hlk145845617"/>
      <w:r w:rsidRPr="00B54ECC">
        <w:rPr>
          <w:rFonts w:ascii="Garamond" w:hAnsi="Garamond"/>
          <w:sz w:val="22"/>
        </w:rPr>
        <w:fldChar w:fldCharType="begin" w:fldLock="1"/>
      </w:r>
      <w:r w:rsidRPr="00B54ECC">
        <w:rPr>
          <w:rFonts w:ascii="Garamond" w:hAnsi="Garamond"/>
          <w:sz w:val="22"/>
        </w:rPr>
        <w:instrText>ADDIN CSL_CITATION {"citationItems":[{"id":"ITEM-1","itemData":{"DOI":"10.29333/ejmste/9344","abstract":"To prove the credibility of empirical and theoretical claims about the ties between problem-based learning (PBL) and educational outcomes, this study investigates the role of PBL as a teaching model to enhance students’ learning activities and outcomes in South Sulawesi located in rural Indonesia. The study subjects included first graders at a junior high school who achieved lower levels academically than pupils in other regions. This study involved classroom activities conducted in two cycles, each comprising routine of planning, action, observation, and reflection. Observation sheets and evaluation tests were used to measure students’ learning activities and outcomes. The data were subjected to qualitative and quantitative analyses. The results showed that the students’ learning activities and outcomes in biology class were improved from the first to the second cycle, suggesting successful resolution of students’ difficulties and enhanced performance. In addition, teachers improved their effectiveness by implementing PBL, even though they lacked prior knowledge. Therefore, this study may be useful for practitioners especially teachers administering PBL. PBL is an effective approach that may be incorporated into teaching curriculum by science teachers.","author":[{"dropping-particle":"","family":"Sakir","given":"Noviana Astuti Irna","non-dropping-particle":"","parse-names":false,"suffix":""},{"dropping-particle":"","family":"Kim","given":"Jae Geun","non-dropping-particle":"","parse-names":false,"suffix":""}],"container-title":"Eurasia Journal of Mathematics, Science and Technology Education","id":"ITEM-1","issue":"12","issued":{"date-parts":[["2020"]]},"page":"1-12","title":"Enhancing Students’ Learning Activity and Outcomes via Implementation of Problem-based Learning","type":"article-journal","volume":"16"},"uris":["http://www.mendeley.com/documents/?uuid=4e6604f2-a9bb-4df1-8e09-d49676f35891"]}],"mendeley":{"formattedCitation":"(Sakir &amp; Kim, 2020)","plainTextFormattedCitation":"(Sakir &amp; Kim, 2020)","previouslyFormattedCitation":"(Sakir &amp; Kim, 2020)"},"properties":{"noteIndex":0},"schema":"https://github.com/citation-style-language/schema/raw/master/csl-citation.json"}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(Sakir &amp; Kim, 2020)</w:t>
      </w:r>
      <w:r w:rsidRPr="00B54ECC">
        <w:rPr>
          <w:rFonts w:ascii="Garamond" w:hAnsi="Garamond"/>
          <w:sz w:val="22"/>
        </w:rPr>
        <w:fldChar w:fldCharType="end"/>
      </w:r>
      <w:bookmarkEnd w:id="19"/>
      <w:r w:rsidRPr="00B54ECC">
        <w:rPr>
          <w:rFonts w:ascii="Garamond" w:hAnsi="Garamond"/>
          <w:sz w:val="22"/>
          <w:lang w:val="id-ID"/>
        </w:rPr>
        <w:t>, (2) increased student engagement</w:t>
      </w:r>
      <w:r w:rsidRPr="00B54ECC">
        <w:rPr>
          <w:rFonts w:ascii="Garamond" w:hAnsi="Garamond"/>
          <w:sz w:val="22"/>
        </w:rPr>
        <w:t xml:space="preserve"> </w:t>
      </w:r>
      <w:bookmarkStart w:id="20" w:name="_Hlk145845627"/>
      <w:r w:rsidRPr="00B54ECC">
        <w:rPr>
          <w:rFonts w:ascii="Garamond" w:hAnsi="Garamond"/>
          <w:sz w:val="22"/>
        </w:rPr>
        <w:fldChar w:fldCharType="begin" w:fldLock="1"/>
      </w:r>
      <w:r w:rsidRPr="00B54ECC">
        <w:rPr>
          <w:rFonts w:ascii="Garamond" w:hAnsi="Garamond"/>
          <w:sz w:val="22"/>
        </w:rPr>
        <w:instrText>ADDIN CSL_CITATION {"citationItems":[{"id":"ITEM-1","itemData":{"DOI":"10.1016/j.rsma.2019.100886","ISSN":"23524855","abstract":"Field-based, hands-on experiential learning is a mainstay of meaningful environmental science education throughout a student's school career. Engaging K-12 students in field-based, experiential learning can help develop true passion and commitment to STEM (Science, Technology, Engineering, Math) subjects, allowing students to apply their skills and content knowledge in an authentic, experiential context while enhancing many academic skills and engaging them in contextualized learning across disciplines. To develop an environmentally literate population, and to solve the increasingly complex environmental issues facing society, there is a need to increase students’ access to environmental education field experiences and to connect these outdoor experiences to relevant curricula within the classroom. This is especially important in urban environments, where citizens and students may be less connected on a day-to-day basis with nature. Examples of programs in two regions that model this approach are the Billion Oyster Project-Curriculum and Community Enterprise for Restoration Science STEM-C-Project (STEM, plus computing), in New York City, and the combined efforts of the Maryland Environmental Literacy Partnership (MELP) and the NOAA Bay-Watershed Education and Training (B-WET) program, both of which focus on the Chesapeake Bay, its watershed, and Baltimore Harbor. Both regions have invested in education programs that take advantage of their harbor/waterway locations and their maritime cultures and histories. The NYC program centers around ‘Oyster Restoration Stations’ visited by middle-school students and citizen scientists, who use a common set of protocols and a matching digital platform interface to record data including water quality and oyster biology. The Chesapeake programs, utilize both public and private partnerships to support teachers in designing inquiry-based field investigations to support curriculum underpinning the nation's first state mandated environmental literacy requirement for high school graduation. These two regional programs provide models for implementing experiential hands-on learning in environmental science and ecology for other urban areas.","author":[{"dropping-particle":"","family":"O'Neil","given":"J. M.","non-dropping-particle":"","parse-names":false,"suffix":""},{"dropping-particle":"","family":"Newton","given":"R. J.","non-dropping-particle":"","parse-names":false,"suffix":""},{"dropping-particle":"","family":"Bone","given":"E. K.","non-dropping-particle":"","parse-names":false,"suffix":""},{"dropping-particle":"","family":"Birney","given":"L. B.","non-dropping-particle":"","parse-names":false,"suffix":""},{"dropping-particle":"","family":"Green","given":"A. E.","non-dropping-particle":"","parse-names":false,"suffix":""},{"dropping-particle":"","family":"Merrick","given":"B.","non-dropping-particle":"","parse-names":false,"suffix":""},{"dropping-particle":"","family":"Goodwin-Segal","given":"T.","non-dropping-particle":"","parse-names":false,"suffix":""},{"dropping-particle":"","family":"Moore","given":"G.","non-dropping-particle":"","parse-names":false,"suffix":""},{"dropping-particle":"","family":"Fraioli","given":"A.","non-dropping-particle":"","parse-names":false,"suffix":""}],"container-title":"Regional Studies in Marine Science","id":"ITEM-1","issued":{"date-parts":[["2020"]]},"page":"100886","publisher":"Elsevier B.V.","title":"Using urban harbors for experiential, environmental literacy: Case studies of New York and Chesapeake Bay","type":"article-journal","volume":"33"},"uris":["http://www.mendeley.com/documents/?uuid=7766843f-ce40-4032-823b-de17a9f89126"]}],"mendeley":{"formattedCitation":"(O’Neil et al., 2020)","plainTextFormattedCitation":"(O’Neil et al., 2020)","previouslyFormattedCitation":"(O’Neil et al., 2020)"},"properties":{"noteIndex":0},"schema":"https://github.com/citation-style-language/schema/raw/master/csl-citation.json"}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(O’Neil et al., 2020)</w:t>
      </w:r>
      <w:r w:rsidRPr="00B54ECC">
        <w:rPr>
          <w:rFonts w:ascii="Garamond" w:hAnsi="Garamond"/>
          <w:sz w:val="22"/>
        </w:rPr>
        <w:fldChar w:fldCharType="end"/>
      </w:r>
      <w:bookmarkEnd w:id="20"/>
      <w:r w:rsidRPr="00B54ECC">
        <w:rPr>
          <w:rFonts w:ascii="Garamond" w:hAnsi="Garamond"/>
          <w:sz w:val="22"/>
          <w:lang w:val="id-ID"/>
        </w:rPr>
        <w:t>, (3) comprehensive assessment</w:t>
      </w:r>
      <w:r w:rsidRPr="00B54ECC">
        <w:rPr>
          <w:rFonts w:ascii="Garamond" w:hAnsi="Garamond"/>
          <w:sz w:val="22"/>
        </w:rPr>
        <w:t xml:space="preserve"> </w:t>
      </w:r>
      <w:bookmarkStart w:id="21" w:name="_Hlk145845694"/>
      <w:r w:rsidRPr="00B54ECC">
        <w:rPr>
          <w:rFonts w:ascii="Garamond" w:hAnsi="Garamond"/>
          <w:sz w:val="22"/>
        </w:rPr>
        <w:fldChar w:fldCharType="begin" w:fldLock="1"/>
      </w:r>
      <w:r w:rsidRPr="00B54ECC">
        <w:rPr>
          <w:rFonts w:ascii="Garamond" w:hAnsi="Garamond"/>
          <w:sz w:val="22"/>
        </w:rPr>
        <w:instrText>ADDIN CSL_CITATION {"citationItems":[{"id":"ITEM-1","itemData":{"DOI":"10.3926/JOTSE.666","ISSN":"20136374","abstract":"Students' attitudes and approaches to problem solving are claimed to be related to their ways they learn physics and to their success in solving physics problems. In this study, the Attitudes and Approaches to Problem Solving (AAPS) survey was used to reveal Turkish introductory university students' attitudes and approaches to physics problem solving. The data were collected from 175 students, in the spring semester of 2015-2016 academic year, from an introductory physics course at a university in the Black See Region of Turkey. The analysis of the data was conducted by grouping the data by major, achievement level, and gender. They were no statistically significant differences between the averages of civil engineering and molecular biology majors, and between male and female students. However, we obtained a small sample correlation between students' attitudes and exam grades that suggests high achievers' attitudes and approaches to physics problems are more expert-like than the attitudes and approaches of low achievers. Implications for problem solving strategies and directions for further research are discussed.","author":[{"dropping-particle":"","family":"Balta","given":"Nuri","non-dropping-particle":"","parse-names":false,"suffix":""},{"dropping-particle":"","family":"Asikainen","given":"Mervi A.","non-dropping-particle":"","parse-names":false,"suffix":""}],"container-title":"Journal of Technology and Science Education","id":"ITEM-1","issue":"3","issued":{"date-parts":[["2019"]]},"page":"378-387","title":"Introductory students' attitudes and approaches to physics problem solving: Major, achievement level and gender differences","type":"article-journal","volume":"9"},"uris":["http://www.mendeley.com/documents/?uuid=41eb336d-b4de-42e4-93b6-7627f90512a4"]}],"mendeley":{"formattedCitation":"(Balta &amp; Asikainen, 2019)","plainTextFormattedCitation":"(Balta &amp; Asikainen, 2019)","previouslyFormattedCitation":"(Balta &amp; Asikainen,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(Balta &amp; Asikainen, 2019)</w:t>
      </w:r>
      <w:r w:rsidRPr="00B54ECC">
        <w:rPr>
          <w:rFonts w:ascii="Garamond" w:hAnsi="Garamond"/>
          <w:sz w:val="22"/>
        </w:rPr>
        <w:fldChar w:fldCharType="end"/>
      </w:r>
      <w:bookmarkEnd w:id="21"/>
      <w:r w:rsidRPr="00B54ECC">
        <w:rPr>
          <w:rFonts w:ascii="Garamond" w:hAnsi="Garamond"/>
          <w:sz w:val="22"/>
          <w:lang w:val="id-ID"/>
        </w:rPr>
        <w:t>, and (4) enhanced student development</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{"citationItems":[{"id":"ITEM-1","itemData":{"DOI":"10.1016/j.rsma.2019.100886","ISSN":"23524855","abstract":"Field-based, hands-on experiential learning is a mainstay of meaningful environmental science education throughout a student's school career. Engaging K-12 students in field-based, experiential learning can help develop true passion and commitment to STEM (Science, Technology, Engineering, Math) subjects, allowing students to apply their skills and content knowledge in an authentic, experiential context while enhancing many academic skills and engaging them in contextualized learning across disciplines. To develop an environmentally literate population, and to solve the increasingly complex environmental issues facing society, there is a need to increase students’ access to environmental education field experiences and to connect these outdoor experiences to relevant curricula within the classroom. This is especially important in urban environments, where citizens and students may be less connected on a day-to-day basis with nature. Examples of programs in two regions that model this approach are the Billion Oyster Project-Curriculum and Community Enterprise for Restoration Science STEM-C-Project (STEM, plus computing), in New York City, and the combined efforts of the Maryland Environmental Literacy Partnership (MELP) and the NOAA Bay-Watershed Education and Training (B-WET) program, both of which focus on the Chesapeake Bay, its watershed, and Baltimore Harbor. Both regions have invested in education programs that take advantage of their harbor/waterway locations and their maritime cultures and histories. The NYC program centers around ‘Oyster Restoration Stations’ visited by middle-school students and citizen scientists, who use a common set of protocols and a matching digital platform interface to record data including water quality and oyster biology. The Chesapeake programs, utilize both public and private partnerships to support teachers in designing inquiry-based field investigations to support curriculum underpinning the nation's first state mandated environmental literacy requirement for high school graduation. These two regional programs provide models for implementing experiential hands-on learning in environmental science and ecology for other urban areas.","author":[{"dropping-particle":"","family":"O'Neil","given":"J. M.","non-dropping-particle":"","parse-names":false,"suffix":""},{"dropping-particle":"","family":"Newton","given":"R. J.","non-dropping-particle":"","parse-names":false,"suffix":""},{"dropping-particle":"","family":"Bone","given":"E. K.","non-dropping-particle":"","parse-names":false,"suffix":""},{"dropping-particle":"","family":"Birney","given":"L. B.","non-dropping-particle":"","parse-names":false,"suffix":""},{"dropping-particle":"","family":"Green","given":"A. E.","non-dropping-particle":"","parse-names":false,"suffix":""},{"dropping-particle":"","family":"Merrick","given":"B.","non-dropping-particle":"","parse-names":false,"suffix":""},{"dropping-particle":"","family":"Goodwin-Segal","given":"T.","non-dropping-particle":"","parse-names":false,"suffix":""},{"dropping-particle":"","family":"Moore","given":"G.","non-dropping-particle":"","parse-names":false,"suffix":""},{"dropping-particle":"","family":"Fraioli","given":"A.","non-dropping-particle":"","parse-names":false,"suffix":""}],"container-title":"Regional Studies in Marine Science","id":"ITEM-1","issued":{"date-parts":[["2020"]]},"page":"100886","publisher":"Elsevier B.V.","title":"Using urban harbors for experiential, environmental literacy: Case studies of New York and Chesapeake Bay","type":"article-journal","volume":"33"},"uris":["http://www.mendeley.com/documents/?uuid=7766843f-ce40-4032-823b-de17a9f89126"]}],"mendeley":{"formattedCitation":"(O’Neil et al., 2020)","plainTextFormattedCitation":"(O’Neil et al., 2020)","previouslyFormattedCitation":"(O’Neil et al., 2020)"},"properties":{"noteIndex":0},"schema":"https://github.com/citation-style-language/schema/raw/master/csl-citation.json"}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(O’Neil et al., 2020)</w:t>
      </w:r>
      <w:r w:rsidRPr="00B54ECC">
        <w:rPr>
          <w:rFonts w:ascii="Garamond" w:hAnsi="Garamond"/>
          <w:sz w:val="22"/>
        </w:rPr>
        <w:fldChar w:fldCharType="end"/>
      </w:r>
      <w:r w:rsidRPr="00B54ECC">
        <w:rPr>
          <w:rFonts w:ascii="Garamond" w:hAnsi="Garamond"/>
          <w:sz w:val="22"/>
          <w:lang w:val="id-ID"/>
        </w:rPr>
        <w:t xml:space="preserve">. The observational findings align with research results indicating that the implementation of biology education at the high school level has a significant positive impact on various aspects of education. The research results </w:t>
      </w:r>
      <w:r w:rsidRPr="00B54ECC">
        <w:rPr>
          <w:rFonts w:ascii="Garamond" w:hAnsi="Garamond"/>
          <w:sz w:val="22"/>
        </w:rPr>
        <w:fldChar w:fldCharType="begin" w:fldLock="1"/>
      </w:r>
      <w:r w:rsidRPr="00B54ECC">
        <w:rPr>
          <w:rFonts w:ascii="Garamond" w:hAnsi="Garamond"/>
          <w:sz w:val="22"/>
        </w:rPr>
        <w:instrText>ADDIN CSL_CITATION {"citationItems":[{"id":"ITEM-1","itemData":{"DOI":"10.1080/09500693.2011.586736","ISSN":"09500693","abstract":"The aim of this research is to identify the difficulties experienced by secondary school students (aged 15-16) with the critical reading of newspaper articles with scientific content. Two newspaper critical reading activities in relation to the study of various scientific contents were designed and carried out in two schools (61 students in total), one with a student population from a medium to high social and economic bracket and the other with students from a medium to low social and economic bracket. These activities were designed taking into account the phases of the reading process: before, during and after reading. In order to analyse the difficulties 'Elements of science critical reading' were identified on the basis of the 'Elements of reasoning' of Paul and Elder and the categories proposed by Bartz C.R.I.T.I.C. questionnaire and a scale was drawn up. The results show that the activities designed were useful in helping students to read critically. We also rated very positively the instrument created to assess the students' answers: the scale based on the performance indicators of Paul and Elder. This instrument enabled us to detect the aspects of critical thinking where students have the most difficulties: identifying the writer's purpose and looking for evidence in a text. It was also shown that the stance taken in the articles also had an influence on the results. © 2013 Copyright Taylor and Francis Group, LLC.","author":[{"dropping-particle":"","family":"Oliveras","given":"Begoña","non-dropping-particle":"","parse-names":false,"suffix":""},{"dropping-particle":"","family":"Márquez","given":"Conxita","non-dropping-particle":"","parse-names":false,"suffix":""},{"dropping-particle":"","family":"Sanmartí","given":"Neus","non-dropping-particle":"","parse-names":false,"suffix":""}],"container-title":"International Journal of Science Education","id":"ITEM-1","issue":"6","issued":{"date-parts":[["2013"]]},"page":"885-905","title":"The Use of Newspaper Articles as a Tool to Develop Critical Thinking in Science Classes","type":"article-journal","volume":"35"},"uris":["http://www.mendeley.com/documents/?uuid=bdb90f1f-1ded-48d6-b029-d1ff5869118c"]}],"mendeley":{"formattedCitation":"(Oliveras et al., 2013)","plainTextFormattedCitation":"(Oliveras et al., 2013)","previouslyFormattedCitation":"(Oliveras et al., 2013)"},"properties":{"noteIndex":0},"schema":"https://github.com/citation-style-language/schema/raw/master/csl-citation.json"}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(Oliveras et al., 2013)</w:t>
      </w:r>
      <w:r w:rsidRPr="00B54ECC">
        <w:rPr>
          <w:rFonts w:ascii="Garamond" w:hAnsi="Garamond"/>
          <w:sz w:val="22"/>
        </w:rPr>
        <w:fldChar w:fldCharType="end"/>
      </w:r>
      <w:r w:rsidRPr="00B54ECC">
        <w:rPr>
          <w:rFonts w:ascii="Garamond" w:hAnsi="Garamond"/>
          <w:sz w:val="22"/>
        </w:rPr>
        <w:t xml:space="preserve"> </w:t>
      </w:r>
      <w:r w:rsidRPr="00B54ECC">
        <w:rPr>
          <w:rFonts w:ascii="Garamond" w:hAnsi="Garamond"/>
          <w:sz w:val="22"/>
          <w:lang w:val="id-ID"/>
        </w:rPr>
        <w:t>demonstrate that effective biology teaching at the high school level can lead to effective teaching and learning activities. Teachers who apply teaching strategies aligned with the curriculum and students' needs can optimize the understanding of biology subject matter</w:t>
      </w:r>
      <w:r w:rsidRPr="00B54ECC">
        <w:rPr>
          <w:rFonts w:ascii="Garamond" w:hAnsi="Garamond"/>
          <w:sz w:val="22"/>
        </w:rPr>
        <w:t xml:space="preserve"> </w:t>
      </w:r>
      <w:bookmarkStart w:id="22" w:name="_Hlk145845777"/>
      <w:r w:rsidRPr="00B54ECC">
        <w:rPr>
          <w:rFonts w:ascii="Garamond" w:hAnsi="Garamond"/>
          <w:sz w:val="22"/>
        </w:rPr>
        <w:fldChar w:fldCharType="begin" w:fldLock="1"/>
      </w:r>
      <w:r w:rsidRPr="00B54ECC">
        <w:rPr>
          <w:rFonts w:ascii="Garamond" w:hAnsi="Garamond"/>
          <w:sz w:val="22"/>
        </w:rPr>
        <w:instrText>ADDIN CSL_CITATION {"citationItems":[{"id":"ITEM-1","itemData":{"abstract":"Galileo wrote that \"the book of nature is written in the language of mathematics\"; his quantitative approach to understanding the natural world arguably marks the beginning of modern science. Nearly 400 years later, the fragmented teaching of science in our universities still leaves biology outside the quantitative and mathematical culture that has come to define the physical sciences and engineering. This strikes us as particularly inopportune at a time when opportunities for quantitative thinking about biological systems are exploding. We propose that a way out of this dilemma is a unified introductory science curriculum that fully incorporates mathematics and quantitative thinking.","author":[{"dropping-particle":"","family":"Botstein","given":"David","non-dropping-particle":"","parse-names":false,"suffix":""},{"dropping-particle":"","family":"Bialek","given":"William","non-dropping-particle":"","parse-names":false,"suffix":""}],"container-title":"Science","id":"ITEM-1","issue":"5659","issued":{"date-parts":[["2004"]]},"page":"788-790","publisher":"American Association for the Advancement of Science","title":"Introductory science and mathematics education for 21st-Century biologists.","type":"article-journal","volume":"303"},"uris":["http://www.mendeley.com/documents/?uuid=18e34ee9-908e-327d-9fb9-79c6f8d392a3"]}],"mendeley":{"formattedCitation":"(Botstein &amp; Bialek, 2004)","plainTextFormattedCitation":"(Botstein &amp; Bialek, 2004)","previouslyFormattedCitation":"(Botstein &amp; Bialek, 2004)"},"properties":{"noteIndex":0},"schema":"https://github.com/citation-style-language/schema/raw/master/csl-citation.json"}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(Botstein &amp; Bialek, 2004)</w:t>
      </w:r>
      <w:r w:rsidRPr="00B54ECC">
        <w:rPr>
          <w:rFonts w:ascii="Garamond" w:hAnsi="Garamond"/>
          <w:sz w:val="22"/>
        </w:rPr>
        <w:fldChar w:fldCharType="end"/>
      </w:r>
      <w:bookmarkEnd w:id="22"/>
      <w:r w:rsidRPr="00B54ECC">
        <w:rPr>
          <w:rFonts w:ascii="Garamond" w:hAnsi="Garamond"/>
          <w:sz w:val="22"/>
          <w:lang w:val="id-ID"/>
        </w:rPr>
        <w:t>. The implementation of interactive and participatory biology education encourages students to be more active in the learning process</w:t>
      </w:r>
      <w:r w:rsidRPr="00B54ECC">
        <w:rPr>
          <w:rFonts w:ascii="Garamond" w:hAnsi="Garamond"/>
          <w:sz w:val="22"/>
        </w:rPr>
        <w:t xml:space="preserve"> </w:t>
      </w:r>
      <w:bookmarkStart w:id="23" w:name="_Hlk145845818"/>
      <w:r w:rsidRPr="00B54ECC">
        <w:rPr>
          <w:rFonts w:ascii="Garamond" w:hAnsi="Garamond"/>
          <w:sz w:val="22"/>
        </w:rPr>
        <w:fldChar w:fldCharType="begin" w:fldLock="1"/>
      </w:r>
      <w:r w:rsidRPr="00B54ECC">
        <w:rPr>
          <w:rFonts w:ascii="Garamond" w:hAnsi="Garamond"/>
          <w:sz w:val="22"/>
        </w:rPr>
        <w:instrText>ADDIN CSL_CITATION {"citationItems":[{"id":"ITEM-1","itemData":{"DOI":"10.29333/ejmste/9344","abstract":"To prove the credibility of empirical and theoretical claims about the ties between problem-based learning (PBL) and educational outcomes, this study investigates the role of PBL as a teaching model to enhance students’ learning activities and outcomes in South Sulawesi located in rural Indonesia. The study subjects included first graders at a junior high school who achieved lower levels academically than pupils in other regions. This study involved classroom activities conducted in two cycles, each comprising routine of planning, action, observation, and reflection. Observation sheets and evaluation tests were used to measure students’ learning activities and outcomes. The data were subjected to qualitative and quantitative analyses. The results showed that the students’ learning activities and outcomes in biology class were improved from the first to the second cycle, suggesting successful resolution of students’ difficulties and enhanced performance. In addition, teachers improved their effectiveness by implementing PBL, even though they lacked prior knowledge. Therefore, this study may be useful for practitioners especially teachers administering PBL. PBL is an effective approach that may be incorporated into teaching curriculum by science teachers.","author":[{"dropping-particle":"","family":"Sakir","given":"Noviana Astuti Irna","non-dropping-particle":"","parse-names":false,"suffix":""},{"dropping-particle":"","family":"Kim","given":"Jae Geun","non-dropping-particle":"","parse-names":false,"suffix":""}],"container-title":"Eurasia Journal of Mathematics, Science and Technology Education","id":"ITEM-1","issue":"12","issued":{"date-parts":[["2020"]]},"page":"1-12","title":"Enhancing Students’ Learning Activity and Outcomes via Implementation of Problem-based Learning","type":"article-journal","volume":"16"},"uris":["http://www.mendeley.com/documents/?uuid=4e6604f2-a9bb-4df1-8e09-d49676f35891"]}],"mendeley":{"formattedCitation":"(Sakir &amp; Kim, 2020)","plainTextFormattedCitation":"(Sakir &amp; Kim, 2020)","previouslyFormattedCitation":"(Sakir &amp; Kim, 2020)"},"properties":{"noteIndex":0},"schema":"https://github.com/citation-style-language/schema/raw/master/csl-citation.json"}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(Sakir &amp; Kim, 2020)</w:t>
      </w:r>
      <w:r w:rsidRPr="00B54ECC">
        <w:rPr>
          <w:rFonts w:ascii="Garamond" w:hAnsi="Garamond"/>
          <w:sz w:val="22"/>
        </w:rPr>
        <w:fldChar w:fldCharType="end"/>
      </w:r>
      <w:bookmarkEnd w:id="23"/>
      <w:r w:rsidRPr="00B54ECC">
        <w:rPr>
          <w:rFonts w:ascii="Garamond" w:hAnsi="Garamond"/>
          <w:sz w:val="22"/>
          <w:lang w:val="id-ID"/>
        </w:rPr>
        <w:t>. Students become more willing to participate in classroom discussions, ask questions, and engage in practical activities</w:t>
      </w:r>
      <w:r w:rsidRPr="00B54ECC">
        <w:rPr>
          <w:rFonts w:ascii="Garamond" w:hAnsi="Garamond"/>
          <w:sz w:val="22"/>
        </w:rPr>
        <w:t xml:space="preserve"> </w:t>
      </w:r>
      <w:bookmarkStart w:id="24" w:name="_Hlk145845844"/>
      <w:r w:rsidRPr="00B54ECC">
        <w:rPr>
          <w:rFonts w:ascii="Garamond" w:hAnsi="Garamond"/>
          <w:sz w:val="22"/>
        </w:rPr>
        <w:fldChar w:fldCharType="begin" w:fldLock="1"/>
      </w:r>
      <w:r w:rsidRPr="00B54ECC">
        <w:rPr>
          <w:rFonts w:ascii="Garamond" w:hAnsi="Garamond"/>
          <w:sz w:val="22"/>
        </w:rPr>
        <w:instrText>ADDIN CSL_CITATION {"citationItems":[{"id":"ITEM-1","itemData":{"DOI":"10.1016/j.sbspro.2011.03.312","ISSN":"18770428","abstract":"This study aims to develop a valid and reliable instrument for measuring 21st century skills towards biology among Malaysian secondary school students using the application of Rasch Model. The sample of this study consisted of 433 form four students who are currently taking Biology as one of their elective subject. The instrument was developed to determine five constructs: digital age literacy, inventive thinking, effective communication, high productivity and spiritual values. The first four constructs was adapted from enGauge 21 st century skills while the last construct was created to suit Malaysian education philosophy. Using a survey design, data were analysed based on Rasch Model for polytomous data via the computer application, WINSTEPS 3.69.1.11. The result shows that the instrument has a very high item reliability (0.91-0.98) and high person separation reliability (4.16-2.31). However for the spiritual values construct, the separation value is lower than 2.0 representing less variation and consistency of respondents. Based on the result, this instrument is beneficial for educators who are interested to evaluate the 21 st century skills in term of improving student's readiness in facing a global world. © 2011 Published by Elsevier Ltd.","author":[{"dropping-particle":"","family":"Arsad","given":"Nurazidawati Mohamad","non-dropping-particle":"","parse-names":false,"suffix":""},{"dropping-particle":"","family":"Osman","given":"Kamisah","non-dropping-particle":"","parse-names":false,"suffix":""},{"dropping-particle":"","family":"Soh","given":"Tuan Mastura Tuan","non-dropping-particle":"","parse-names":false,"suffix":""}],"container-title":"Procedia - Social and Behavioral Sciences","id":"ITEM-1","issued":{"date-parts":[["2011"]]},"page":"1470-1474","publisher":"Elsevier B.V.","title":"Instrument development for 21st century skills in Biology","type":"article-journal","volume":"15"},"uris":["http://www.mendeley.com/documents/?uuid=d6f4dfa9-892c-4ebe-906d-facb54e55773"]}],"mendeley":{"formattedCitation":"(Arsad et al., 2011)","plainTextFormattedCitation":"(Arsad et al., 2011)","previouslyFormattedCitation":"(Arsad et al., 2011)"},"properties":{"noteIndex":0},"schema":"https://github.com/citation-style-language/schema/raw/master/csl-citation.json"}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(Arsad et al., 2011)</w:t>
      </w:r>
      <w:r w:rsidRPr="00B54ECC">
        <w:rPr>
          <w:rFonts w:ascii="Garamond" w:hAnsi="Garamond"/>
          <w:sz w:val="22"/>
        </w:rPr>
        <w:fldChar w:fldCharType="end"/>
      </w:r>
      <w:r w:rsidRPr="00B54ECC">
        <w:rPr>
          <w:rFonts w:ascii="Garamond" w:hAnsi="Garamond"/>
          <w:sz w:val="22"/>
          <w:lang w:val="id-ID"/>
        </w:rPr>
        <w:t>.</w:t>
      </w:r>
      <w:bookmarkEnd w:id="24"/>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The observational findings align with the interview results from Biology teachers (BT1 &amp; BT2) who stated:</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w:t>
      </w:r>
      <w:r w:rsidRPr="00B54ECC">
        <w:rPr>
          <w:rFonts w:ascii="Garamond" w:hAnsi="Garamond"/>
          <w:i/>
          <w:iCs/>
          <w:sz w:val="22"/>
          <w:lang w:val="id-ID"/>
        </w:rPr>
        <w:t>The independent curriculum encourages biology teaching that is more oriented towards practical experiences. Students can engage in field activities, experiments, and projects that focus on a direct understanding of environmental issues, such as monitoring local ecosystems or analyzing the impacts of climate change</w:t>
      </w:r>
      <w:r w:rsidRPr="00B54ECC">
        <w:rPr>
          <w:rFonts w:ascii="Garamond" w:hAnsi="Garamond"/>
          <w:sz w:val="22"/>
          <w:lang w:val="id-ID"/>
        </w:rPr>
        <w:t>." (BT1)</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lastRenderedPageBreak/>
        <w:t>"</w:t>
      </w:r>
      <w:r w:rsidRPr="00B54ECC">
        <w:rPr>
          <w:rFonts w:ascii="Garamond" w:hAnsi="Garamond"/>
          <w:i/>
          <w:iCs/>
          <w:sz w:val="22"/>
          <w:lang w:val="id-ID"/>
        </w:rPr>
        <w:t>The independent curriculum enables more interdisciplinary biology teaching. Environmental issues often involve concepts from various subjects like chemistry, geology, and ecology. The independent curriculum allows for the integration of these concepts within the context of biology</w:t>
      </w:r>
      <w:r w:rsidRPr="00B54ECC">
        <w:rPr>
          <w:rFonts w:ascii="Garamond" w:hAnsi="Garamond"/>
          <w:sz w:val="22"/>
          <w:lang w:val="id-ID"/>
        </w:rPr>
        <w:t>." (BT2)</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Statements from Teacher 1 and Teacher 2 discuss the expected impacts of implementing the independent curriculum in biology education. Teacher 1 mentions that the independent curriculum will encourage biology teaching that is more oriented towards practical experiences. Teacher 2 highlights that the independent curriculum allows for more interdisciplinary biology teaching. This means that students will not only study biology as a separate subject but will also integrate concepts from various other subjects like chemistry, geology, and ecology.</w:t>
      </w:r>
    </w:p>
    <w:p w:rsidR="00A60AAA" w:rsidRPr="00B54ECC" w:rsidRDefault="00A60AAA" w:rsidP="00A60AAA">
      <w:pPr>
        <w:spacing w:before="280"/>
        <w:ind w:firstLine="0"/>
        <w:jc w:val="both"/>
        <w:rPr>
          <w:rFonts w:ascii="Garamond" w:hAnsi="Garamond"/>
          <w:sz w:val="22"/>
        </w:rPr>
      </w:pPr>
      <w:r w:rsidRPr="00B54ECC">
        <w:rPr>
          <w:rFonts w:ascii="Garamond" w:hAnsi="Garamond"/>
          <w:sz w:val="22"/>
          <w:lang w:val="id-ID"/>
        </w:rPr>
        <w:t>The key common points based on both teachers are: (1) The independent curriculum can help connect biology teaching to important environmental issues. (2) Both statements emphasize the importance of practical experience and direct interaction with the subject matter. The independent curriculum prioritizes active learning, which can enhance student engagement and understanding. (3) Both teachers highlight the importance of integrating various subjects, reflecting the complexity of environmental issues, which can help students develop a deeper understanding of how various sciences contribute to solving environmental problems. (4) Both teachers emphasize the importance of developing practical skills, such as field skills and experiments, which can be useful for students in understanding and addressing environmental issues in the real world. Overall, both Teacher 1 and Teacher 2 support the idea that the independent curriculum can enhance biology teaching by focusing on practical, interdisciplinary, and environmentally relevant experiences</w:t>
      </w:r>
      <w:r w:rsidRPr="00B54ECC">
        <w:rPr>
          <w:rFonts w:ascii="Garamond" w:hAnsi="Garamond"/>
          <w:sz w:val="22"/>
        </w:rPr>
        <w:t>.</w:t>
      </w:r>
    </w:p>
    <w:p w:rsidR="00A60AAA" w:rsidRPr="00B54ECC" w:rsidRDefault="00A60AAA" w:rsidP="00A60AAA">
      <w:pPr>
        <w:tabs>
          <w:tab w:val="num" w:pos="567"/>
        </w:tabs>
        <w:spacing w:before="280"/>
        <w:ind w:firstLine="0"/>
        <w:jc w:val="both"/>
        <w:rPr>
          <w:rFonts w:ascii="Garamond" w:hAnsi="Garamond"/>
          <w:b/>
          <w:sz w:val="22"/>
        </w:rPr>
      </w:pPr>
      <w:r w:rsidRPr="00B54ECC">
        <w:rPr>
          <w:rFonts w:ascii="Garamond" w:hAnsi="Garamond"/>
          <w:b/>
          <w:bCs/>
          <w:sz w:val="22"/>
          <w:lang w:val="id-ID"/>
        </w:rPr>
        <w:t>Weaknesses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Weaknesses are conditions or anything that represents a weakness or deficiency within an organization</w:t>
      </w:r>
      <w:bookmarkStart w:id="25" w:name="_Hlk145845292"/>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{"citationItems":[{"id":"ITEM-1","itemData":{"DOI":"10.1016/j.lrp.2023.102304","ISSN":"18731872","abstract":"The origins of SWOT analysis have been enigmatic, until now. With archival research, interviews with experts and a review of the available literature, this paper reconstructs the original SOFT/SWOT approach, and draws potential implications. During a firm's planning process, all managers are asked to write down 8 to 10 key planning issues faced by their units. Each manager grades, with evidence, these issues as either safeguarding the Satisfactory; opening Opportunities; fixing Faults; or thwarting Threats: hence SOFT (which is later merely relabeled to Strengths, Weaknesses, Opportunities and Threats, or SWOT). Subgroups of managers have several dialogues about these issues with the instruction to include the needs and expectations of all the firm's stakeholders. Their developed resolutions or proposals become input for the executive planning committee to articulate corporate purpose(s) and strategies. SWOT's originator, Robert Franklin Stewart, emphasized the crucial role that creativity plays in the planning process. The SOFT/SWOT approach curbs mere top-down strategy making to the benefit of strategy alignment and implementation; Introducing digital means to parts of SWOT's original participative, long-range planning process, as suggested herein, could boost the effectiveness of organizational strategizing, communication and learning. Archival research into the deployment of SOFT/SWOT in practice is needed.","author":[{"dropping-particle":"","family":"Puyt","given":"Richard W.","non-dropping-particle":"","parse-names":false,"suffix":""},{"dropping-particle":"","family":"Lie","given":"Finn Birger","non-dropping-particle":"","parse-names":false,"suffix":""},{"dropping-particle":"","family":"Wilderom","given":"Celeste P.M.","non-dropping-particle":"","parse-names":false,"suffix":""}],"container-title":"Long Range Planning","id":"ITEM-1","issue":"3","issued":{"date-parts":[["2023"]]},"page":"102304","publisher":"Elsevier Ltd","title":"The origins of SWOT analysis","type":"article-journal","volume":"56"},"uris":["http://www.mendeley.com/documents/?uuid=06caad06-7498-4e33-9e25-89672126f1e4"]}],"mendeley":{"formattedCitation":"(Puyt et al., 2023)","plainTextFormattedCitation":"(Puyt et al., 2023)","previouslyFormattedCitation":"(Puyt et al.,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(Puyt et al., 2023)</w:t>
      </w:r>
      <w:r w:rsidRPr="00B54ECC">
        <w:rPr>
          <w:rFonts w:ascii="Garamond" w:hAnsi="Garamond"/>
          <w:sz w:val="22"/>
        </w:rPr>
        <w:fldChar w:fldCharType="end"/>
      </w:r>
      <w:r w:rsidRPr="00B54ECC">
        <w:rPr>
          <w:rFonts w:ascii="Garamond" w:hAnsi="Garamond"/>
          <w:sz w:val="22"/>
          <w:lang w:val="id-ID"/>
        </w:rPr>
        <w:t xml:space="preserve">. </w:t>
      </w:r>
      <w:bookmarkEnd w:id="25"/>
      <w:r w:rsidRPr="00B54ECC">
        <w:rPr>
          <w:rFonts w:ascii="Garamond" w:hAnsi="Garamond"/>
          <w:sz w:val="22"/>
          <w:lang w:val="id-ID"/>
        </w:rPr>
        <w:t>Essentially, weaknesses are a normal condition for an organization, but what matters most is how the institution can address these weaknesses so that they do not become hindrances to the organization</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{"citationItems":[{"id":"ITEM-1","itemData":{"DOI":"10.1016/j.lrp.2023.102304","ISSN":"18731872","abstract":"The origins of SWOT analysis have been enigmatic, until now. With archival research, interviews with experts and a review of the available literature, this paper reconstructs the original SOFT/SWOT approach, and draws potential implications. During a firm's planning process, all managers are asked to write down 8 to 10 key planning issues faced by their units. Each manager grades, with evidence, these issues as either safeguarding the Satisfactory; opening Opportunities; fixing Faults; or thwarting Threats: hence SOFT (which is later merely relabeled to Strengths, Weaknesses, Opportunities and Threats, or SWOT). Subgroups of managers have several dialogues about these issues with the instruction to include the needs and expectations of all the firm's stakeholders. Their developed resolutions or proposals become input for the executive planning committee to articulate corporate purpose(s) and strategies. SWOT's originator, Robert Franklin Stewart, emphasized the crucial role that creativity plays in the planning process. The SOFT/SWOT approach curbs mere top-down strategy making to the benefit of strategy alignment and implementation; Introducing digital means to parts of SWOT's original participative, long-range planning process, as suggested herein, could boost the effectiveness of organizational strategizing, communication and learning. Archival research into the deployment of SOFT/SWOT in practice is needed.","author":[{"dropping-particle":"","family":"Puyt","given":"Richard W.","non-dropping-particle":"","parse-names":false,"suffix":""},{"dropping-particle":"","family":"Lie","given":"Finn Birger","non-dropping-particle":"","parse-names":false,"suffix":""},{"dropping-particle":"","family":"Wilderom","given":"Celeste P.M.","non-dropping-particle":"","parse-names":false,"suffix":""}],"container-title":"Long Range Planning","id":"ITEM-1","issue":"3","issued":{"date-parts":[["2023"]]},"page":"102304","publisher":"Elsevier Ltd","title":"The origins of SWOT analysis","type":"article-journal","volume":"56"},"uris":["http://www.mendeley.com/documents/?uuid=06caad06-7498-4e33-9e25-89672126f1e4"]}],"mendeley":{"formattedCitation":"(Puyt et al., 2023)","plainTextFormattedCitation":"(Puyt et al., 2023)","previouslyFormattedCitation":"(Puyt et al.,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(Puyt et al., 2023)</w:t>
      </w:r>
      <w:r w:rsidRPr="00B54ECC">
        <w:rPr>
          <w:rFonts w:ascii="Garamond" w:hAnsi="Garamond"/>
          <w:sz w:val="22"/>
        </w:rPr>
        <w:fldChar w:fldCharType="end"/>
      </w:r>
      <w:r w:rsidRPr="00B54ECC">
        <w:rPr>
          <w:rFonts w:ascii="Garamond" w:hAnsi="Garamond"/>
          <w:sz w:val="22"/>
          <w:lang w:val="id-ID"/>
        </w:rPr>
        <w:t>. The weaknesses referred to in this context are weaknesses related to the implementation of biology education and the prospects for the development of medicinal plant materials in schools.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Based on the observations regarding the weaknesses of implementing biology education at the high school level in Karanganyar, it was found that the schools under observation revealed a weakness in the absence of a medicinal plant garden that could serve as an authentic learning source for students in the context of biology education. The absence of a medicinal plant garden in these schools may limit students' potential to gain richer and more authentic learning experiences in the subject of biology. In biology education, understanding medicinal plants is crucial.</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Medicinal plants play a significant role in the field of biology, including the study of plant morphology, photosynthesis processes, plant reproduction, and the chemical components in plants that have health benefits. Unfortunately, we did not find a sufficiently large or diverse medicinal plant garden within or around the school environment. Yet, a medicinal plant garden can be a valuable source of authentic learning for students.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The presence of a medicinal plant garden allows students to observe medicinal plants directly, learn about the morphology and unique characteristics of each plant</w:t>
      </w:r>
      <w:r w:rsidRPr="00B54ECC">
        <w:rPr>
          <w:rFonts w:ascii="Garamond" w:hAnsi="Garamond"/>
          <w:sz w:val="22"/>
        </w:rPr>
        <w:t xml:space="preserve"> </w:t>
      </w:r>
      <w:bookmarkStart w:id="26" w:name="_Hlk145845931"/>
      <w:bookmarkStart w:id="27" w:name="_Hlk145846022"/>
      <w:r w:rsidRPr="00B54ECC">
        <w:rPr>
          <w:rFonts w:ascii="Garamond" w:hAnsi="Garamond"/>
          <w:sz w:val="22"/>
        </w:rPr>
        <w:fldChar w:fldCharType="begin" w:fldLock="1"/>
      </w:r>
      <w:r w:rsidRPr="00B54ECC">
        <w:rPr>
          <w:rFonts w:ascii="Garamond" w:hAnsi="Garamond"/>
          <w:sz w:val="22"/>
        </w:rPr>
        <w:instrText>ADDIN CSL_CITATION {"citationItems":[{"id":"ITEM-1","itemData":{"DOI":"10.1016/j.jep.2022.115404","ISSN":"18727573","PMID":"35643208","abstract":"Ethnopharmacological relevance: Medicinal plants have been extensively used to treat various illnesses since the dawn of civilization. The genus Didymorcapus Wall. comprises 100 species widely distributed in the tropical regions of Asia, with a few found scattered in Africa and Australia. Species in this genus have long been used in folk medicine to treat various illnesses, including wounds, kidney stones, inflammations, asthma, flu, eczema, dysentery, fractures, colic etc. Some species have applications as weight loss agents, laxatives, and protective medication after childbirth. Aim: To provide comprehensive information on the current knowledge of the ethnobotanical uses, phytochemical compounds, pharmacological applications, and toxicology of genus Didymocarpus to reveal its therapeutic potential, offering insights into future research opportunities. Materials and methods: Data were systematically obtained from books and online databases such as PubMed, Web of Science, Scopus, Sci Finder, Google Scholar, Science direct, ACS Publications, Elsevier, Wiley Online Library. Results: Seventeen Didymocarpus species have applications in traditional medicine in different Asian countries. A total of 166 compounds have been isolated from the genus Didymocarpus including terpenoids, flavonoids, phenolic compounds, fatty acids, chalcones, steroids, and others. Among these constituents, terpenoids, flavonoids, chalcones, and phenolics are the significant contributors to pharmacological activities of the genus Didymocarpus, possessing wide-reaching biological activities both in vivo and in vitro. The crude extracts and isolated phytochemical compounds from this genus have been shown to exhibit various pharmacological activities, including antiurolithiatic, nephro-protective, antimicrobial, anticancer, antidiabetic, cytotoxic, wound healing, and antioxidant activities. Conclusions: Traditional uses and scientific evaluation of Didymocarpus indicate that Didymocarpus pedicellata is one of the most widely used species in some parts of the world. Although substantial progress on the chemical and pharmacological properties of Didymocarpus species has been made, further studies on the pharmacology and toxicology of these species are needed to ensure safety, efficacy, and quality. Also, further research on the structure-activity relationship of some of the isolated phytocompounds may improve their biological potency and scientific exploitation of traditional uses of the D…","author":[{"dropping-particle":"","family":"Nanjala","given":"Consolata","non-dropping-particle":"","parse-names":false,"suffix":""},{"dropping-particle":"","family":"Odago","given":"Wyclif Ochieng","non-dropping-particle":"","parse-names":false,"suffix":""},{"dropping-particle":"","family":"Rono","given":"Peninah Cheptoo","non-dropping-particle":"","parse-names":false,"suffix":""},{"dropping-particle":"","family":"Waswa","given":"Emmanuel Nyongesa","non-dropping-particle":"","parse-names":false,"suffix":""},{"dropping-particle":"","family":"Mutinda","given":"Elizabeth Syowai","non-dropping-particle":"","parse-names":false,"suffix":""},{"dropping-particle":"","family":"Oulo","given":"Millicent Akinyi","non-dropping-particle":"","parse-names":false,"suffix":""},{"dropping-particle":"","family":"Muema","given":"Felix Wambua","non-dropping-particle":"","parse-names":false,"suffix":""},{"dropping-particle":"","family":"Wanga","given":"Vincent Okelo","non-dropping-particle":"","parse-names":false,"suffix":""},{"dropping-particle":"","family":"Mkala","given":"Elijah Mbandi","non-dropping-particle":"","parse-names":false,"suffix":""},{"dropping-particle":"","family":"Kuja","given":"Josiah","non-dropping-particle":"","parse-names":false,"suffix":""},{"dropping-particle":"","family":"Njire","given":"Moses Mucugi","non-dropping-particle":"","parse-names":false,"suffix":""},{"dropping-particle":"","family":"Hu","given":"Guang Wan","non-dropping-particle":"","parse-names":false,"suffix":""}],"container-title":"Journal of Ethnopharmacology","id":"ITEM-1","issue":"May","issued":{"date-parts":[["2022"]]},"page":"115404","publisher":"Elsevier B.V.","title":"A review on ethnobotany, phytochemistry, and pharmacology of the genus Didymocarpus wall. (Gesneriaceae)","type":"article-journal","volume":"295"},"uris":["http://www.mendeley.com/documents/?uuid=0557b06a-0960-44fa-b9e5-65afa5646428"]}],"mendeley":{"formattedCitation":"(Nanjala et al., 2022)","plainTextFormattedCitation":"(Nanjala et al., 2022)","previouslyFormattedCitation":"(Nanjala et al., 2022)"},"properties":{"noteIndex":0},"schema":"https://github.com/citation-style-language/schema/raw/master/csl-citation.json"}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(Nanjala et al., 2022)</w:t>
      </w:r>
      <w:r w:rsidRPr="00B54ECC">
        <w:rPr>
          <w:rFonts w:ascii="Garamond" w:hAnsi="Garamond"/>
          <w:sz w:val="22"/>
        </w:rPr>
        <w:fldChar w:fldCharType="end"/>
      </w:r>
      <w:bookmarkEnd w:id="26"/>
      <w:r w:rsidRPr="00B54ECC">
        <w:rPr>
          <w:rFonts w:ascii="Garamond" w:hAnsi="Garamond"/>
          <w:sz w:val="22"/>
          <w:lang w:val="id-ID"/>
        </w:rPr>
        <w:t xml:space="preserve">. </w:t>
      </w:r>
      <w:bookmarkEnd w:id="27"/>
      <w:r w:rsidRPr="00B54ECC">
        <w:rPr>
          <w:rFonts w:ascii="Garamond" w:hAnsi="Garamond"/>
          <w:sz w:val="22"/>
          <w:lang w:val="id-ID"/>
        </w:rPr>
        <w:t>A medicinal plant garden can also serve as a means to understand ecosystems and the relationships among organisms</w:t>
      </w:r>
      <w:r w:rsidRPr="00B54ECC">
        <w:rPr>
          <w:rFonts w:ascii="Garamond" w:hAnsi="Garamond"/>
          <w:sz w:val="22"/>
        </w:rPr>
        <w:t xml:space="preserve"> </w:t>
      </w:r>
      <w:bookmarkStart w:id="28" w:name="_Hlk145846013"/>
      <w:r w:rsidRPr="00B54ECC">
        <w:rPr>
          <w:rFonts w:ascii="Garamond" w:hAnsi="Garamond"/>
          <w:sz w:val="22"/>
        </w:rPr>
        <w:fldChar w:fldCharType="begin" w:fldLock="1"/>
      </w:r>
      <w:r w:rsidRPr="00B54ECC">
        <w:rPr>
          <w:rFonts w:ascii="Garamond" w:hAnsi="Garamond"/>
          <w:sz w:val="22"/>
        </w:rPr>
        <w:instrText>ADDIN CSL_CITATION {"citationItems":[{"id":"ITEM-1","itemData":{"DOI":"10.36456/stigma.vol10.no2.a1036","ISSN":"1412-1840","abstract":"Tanaman ini sudah cukup dikenal masyarakat Indonesia dan biasanya digunakan sebagai bumbu campuran pada masakan. Bagian tanaman ini yang biasa digunakan adalah rimpangnya. Rimpang lengkuas ini bisa digunakan sebagai obat tradisional untuk  diare, disentri. Pada rimpang lengkuas terdapat senyawa-senyawa flavonoid, glikosida dan diarilheptanoids. Kerangka flavonoid terdiri atas satu cincin aromatik A, satu cincin aromatik B, dan cincin tengah berupa heterosiklik yang mengandung oksigen dan bentuk teroksidasi cincin ini dijadikan dasar pembagian flavonoid ke dalam sub-sub kelompoknya. Penggunaan sel murin leukemia P388 dapat menghambat pertumbuhan sel kanker, karena pada gugus hidroksil (-OH), gugus amida (-CONH) dan gugus dilakton merupakan gugus yang menunjukkan aktivitas menghambat pertumbuhan bakteri dan sel kanker. Ekstraksi senyawa metabolit sekunder dilakukan melalui tahapan ekstraksi dengan methanol kemudian dilanjutkan dengan uji skrining senyawa dan uji antikanker. Analisis ekstrak senyawa rimpang lengkuas dengan perbandingan 1:3 hasil lebih jernih dan baik, analisis uji skrining serbuk rimpang lengkuas didapatkan hasil positif adanya senyawa flavonoid pada uji Bate Smith &amp; Mertcalf dan Uji Wilstater Sianidin, penghambatan sel kanker leukimia P388 50% dari ekstrak metanol lengkuas 16,76 Âµg/mL\r  \r Kata kunci: Lengkuas; anti kanker","author":[{"dropping-particle":"","family":"Pramushinta","given":"I. A. K.","non-dropping-particle":"","parse-names":false,"suffix":""},{"dropping-particle":"","family":"Ajiningrum","given":"P. S.","non-dropping-particle":"","parse-names":false,"suffix":""}],"container-title":"STIGMA: Jurnal Matematika dan Ilmu Pengetahuan Alam Unipa","id":"ITEM-1","issue":"02","issued":{"date-parts":[["2017"]]},"page":"88-92","title":"Uji Aktivitas Sel Kanker dengan menggunakan senyawa Flavonoid dari Lengkuas (Alpinia Galanga)","type":"article-journal","volume":"10"},"uris":["http://www.mendeley.com/documents/?uuid=e06e2562-97f5-4637-aa50-f355cd341db5"]}],"mendeley":{"formattedCitation":"(Pramushinta &amp; Ajiningrum, 2017)","plainTextFormattedCitation":"(Pramushinta &amp; Ajiningrum, 2017)","previouslyFormattedCitation":"(Pramushinta &amp; Ajiningrum,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(Pramushinta &amp; Ajiningrum, 2017)</w:t>
      </w:r>
      <w:r w:rsidRPr="00B54ECC">
        <w:rPr>
          <w:rFonts w:ascii="Garamond" w:hAnsi="Garamond"/>
          <w:sz w:val="22"/>
        </w:rPr>
        <w:fldChar w:fldCharType="end"/>
      </w:r>
      <w:r w:rsidRPr="00B54ECC">
        <w:rPr>
          <w:rFonts w:ascii="Garamond" w:hAnsi="Garamond"/>
          <w:sz w:val="22"/>
          <w:lang w:val="id-ID"/>
        </w:rPr>
        <w:t xml:space="preserve">. </w:t>
      </w:r>
      <w:bookmarkEnd w:id="28"/>
      <w:r w:rsidRPr="00B54ECC">
        <w:rPr>
          <w:rFonts w:ascii="Garamond" w:hAnsi="Garamond"/>
          <w:sz w:val="22"/>
          <w:lang w:val="id-ID"/>
        </w:rPr>
        <w:t>Students can study how medicinal plants interact with pollinating insects, soil microbes, and other organisms</w:t>
      </w:r>
      <w:r w:rsidRPr="00B54ECC">
        <w:rPr>
          <w:rFonts w:ascii="Garamond" w:hAnsi="Garamond"/>
          <w:sz w:val="22"/>
        </w:rPr>
        <w:t xml:space="preserve"> </w:t>
      </w:r>
      <w:bookmarkStart w:id="29" w:name="_Hlk145846007"/>
      <w:r w:rsidRPr="00B54ECC">
        <w:rPr>
          <w:rFonts w:ascii="Garamond" w:hAnsi="Garamond"/>
          <w:sz w:val="22"/>
        </w:rPr>
        <w:fldChar w:fldCharType="begin" w:fldLock="1"/>
      </w:r>
      <w:r w:rsidRPr="00B54ECC">
        <w:rPr>
          <w:rFonts w:ascii="Garamond" w:hAnsi="Garamond"/>
          <w:sz w:val="22"/>
        </w:rPr>
        <w:instrText>ADDIN CSL_CITATION {"citationItems":[{"id":"ITEM-1","itemData":{"author":[{"dropping-particle":"","family":"Munadi","given":"Ernawati","non-dropping-particle":"","parse-names":false,"suffix":""}],"chapter-number":"1","container-title":"Info Komoditi Tanaman Obat","editor":[{"dropping-particle":"","family":"Salim","given":"Zamroni","non-dropping-particle":"","parse-names":false,"suffix":""},{"dropping-particle":"","family":"Munadi","given":"Ernawati","non-dropping-particle":"","parse-names":false,"suffix":""}],"id":"ITEM-1","issued":{"date-parts":[["2017"]]},"page":"1-8","publisher":"Badan Pengkajian dan Pengembangan Perdagangan Kementerian Perdagangan Republik Indonesia","publisher-place":"Jakarta","title":"Tanaman Obat, Sebuah Tinjauan Singkat","type":"chapter"},"uris":["http://www.mendeley.com/documents/?uuid=4cb5d4e8-aa1b-432d-85e8-85c6f077b494"]}],"mendeley":{"formattedCitation":"(Munadi, 2017)","plainTextFormattedCitation":"(Munadi, 2017)","previouslyFormattedCitation":"(Munadi,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(Munadi, 2017)</w:t>
      </w:r>
      <w:r w:rsidRPr="00B54ECC">
        <w:rPr>
          <w:rFonts w:ascii="Garamond" w:hAnsi="Garamond"/>
          <w:sz w:val="22"/>
        </w:rPr>
        <w:fldChar w:fldCharType="end"/>
      </w:r>
      <w:r w:rsidRPr="00B54ECC">
        <w:rPr>
          <w:rFonts w:ascii="Garamond" w:hAnsi="Garamond"/>
          <w:sz w:val="22"/>
          <w:lang w:val="id-ID"/>
        </w:rPr>
        <w:t xml:space="preserve">. </w:t>
      </w:r>
      <w:bookmarkEnd w:id="29"/>
      <w:r w:rsidRPr="00B54ECC">
        <w:rPr>
          <w:rFonts w:ascii="Garamond" w:hAnsi="Garamond"/>
          <w:sz w:val="22"/>
          <w:lang w:val="id-ID"/>
        </w:rPr>
        <w:t>They can gain an understanding of the benefits of medicinal plants in traditional and modern medicine</w:t>
      </w:r>
      <w:r w:rsidRPr="00B54ECC">
        <w:rPr>
          <w:rFonts w:ascii="Garamond" w:hAnsi="Garamond"/>
          <w:sz w:val="22"/>
        </w:rPr>
        <w:t xml:space="preserve"> </w:t>
      </w:r>
      <w:bookmarkStart w:id="30" w:name="_Hlk145846000"/>
      <w:r w:rsidRPr="00B54ECC">
        <w:rPr>
          <w:rFonts w:ascii="Garamond" w:hAnsi="Garamond"/>
          <w:sz w:val="22"/>
        </w:rPr>
        <w:fldChar w:fldCharType="begin" w:fldLock="1"/>
      </w:r>
      <w:r w:rsidRPr="00B54ECC">
        <w:rPr>
          <w:rFonts w:ascii="Garamond" w:hAnsi="Garamond"/>
          <w:sz w:val="22"/>
        </w:rPr>
        <w:instrText>ADDIN CSL_CITATION {"citationItems":[{"id":"ITEM-1","itemData":{"DOI":"10.36873/jjms.v1i1.134","abstract":"Tujan penelitian ini mendeskripsikan botani tanaman meniran hijau (Phyllanthus ninuri L), mengetahui kandungan fitokimia dan khasiatnya dalam tradisi pengobatan penyakit herpes zozter oleh masyarakat suku Dayak Ngaju Kalimantan Tengah. Jenis penelitian ini adalah deskriptif eksploratif dengan wawancara dan observasi. Wawancara dilakukan secara terstruktur dan semi terstruktur yang disertai dengan keterlibatan aktif peneliti dalam kegiatan masyarakat setempat / parcipatory ethnobotanica apraisa (PEA). Data tradisi pengobatan suku Dayak Ngaju dan kandungan fitokimia dianalisis deskriptif kualitatif, dan pengaruhnya terhadap kulit dengan membandingkan dengan referensi. Teknik keabsahan data dengan triangulasi / konfirmabilitas, dimana data diambil lebih dari 3 subjek informasi kunci dan non kunci yang berbeda. Hasil penelitian menunjukkan bahwa ekstrak daun meniran hijau dibuat ramuan dicampurkan dengan kasai tai handalai (kotoran cacing tanah) dipercaya mampu menyembuhkan penyakit kulit kayap ular (herpes zoster) dengan metode penggunaan sebagai obat luar serupa salep. Terdapat beberapa perlakuan khas menurut tradisi setempat, yaitu (1) pembuatan ramuan harus dilaksanakan menjelang senja, (2) ada doa tertentu saat pengobatan, (3) pengobatan selama 3 hari berturut-turut dan harus dimulai dari hari jumat, (4) pasien diharuskan membawa jarum. Kandungan ekstrak meniran hijau memiliki kontribusi besar dalam campuran racikan kasai tai handalai. Antrakuinon yang terkandung pada ekstrak meniran membantu merangsang meningkatnya imunitas tubuh dengan mendorong limfosit T aktif bekerja, zat quercetin  berperan sebagai anti-inflamasi, dan kandungan alkaloid pada meniran berperan sebagai anti-nociceptive. Kotoran cacing mengandung mineral berupa Zinc (Zn) yang juga memiliki peran besar dalam penyembuhan herpes zoster serta menutrisi kulit.","author":[{"dropping-particle":"","family":"Ervina","given":"Maharani Nida","non-dropping-particle":"","parse-names":false,"suffix":""},{"dropping-particle":"","family":"Mulyono","given":"Yatin","non-dropping-particle":"","parse-names":false,"suffix":""}],"container-title":"Jurnal Jejaring Matematika dan Sains","id":"ITEM-1","issue":"1","issued":{"date-parts":[["2019"]]},"page":"30-38","title":"Etnobotani Meniran Hijau (Phyllanthus ninuri L) Sebagai Potensi Obat Kayap Ular (Herpes Zoster) dalam Tradisi Suku Dayak Ngaju","type":"article-journal","volume":"1"},"uris":["http://www.mendeley.com/documents/?uuid=18badc31-25b9-4082-81a2-b20f8779ec78"]}],"mendeley":{"formattedCitation":"(Ervina &amp; Mulyono, 2019)","plainTextFormattedCitation":"(Ervina &amp; Mulyono, 2019)","previouslyFormattedCitation":"(Ervina &amp; Mulyono,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(Ervina &amp; Mulyono, 2019)</w:t>
      </w:r>
      <w:r w:rsidRPr="00B54ECC">
        <w:rPr>
          <w:rFonts w:ascii="Garamond" w:hAnsi="Garamond"/>
          <w:sz w:val="22"/>
        </w:rPr>
        <w:fldChar w:fldCharType="end"/>
      </w:r>
      <w:r w:rsidRPr="00B54ECC">
        <w:rPr>
          <w:rFonts w:ascii="Garamond" w:hAnsi="Garamond"/>
          <w:sz w:val="22"/>
          <w:lang w:val="id-ID"/>
        </w:rPr>
        <w:t xml:space="preserve">. </w:t>
      </w:r>
      <w:bookmarkEnd w:id="30"/>
      <w:r w:rsidRPr="00B54ECC">
        <w:rPr>
          <w:rFonts w:ascii="Garamond" w:hAnsi="Garamond"/>
          <w:sz w:val="22"/>
          <w:lang w:val="id-ID"/>
        </w:rPr>
        <w:t xml:space="preserve">Students can also learn about the process of extracting active compounds from medicinal plants and their use in </w:t>
      </w:r>
      <w:r w:rsidRPr="00B54ECC">
        <w:rPr>
          <w:rFonts w:ascii="Garamond" w:hAnsi="Garamond"/>
          <w:sz w:val="22"/>
          <w:lang w:val="id-ID"/>
        </w:rPr>
        <w:lastRenderedPageBreak/>
        <w:t>medicines. A medicinal plant garden also provides opportunities for learning about environmental conservation and the importance of preserving the diversity of medicinal plants</w:t>
      </w:r>
      <w:r w:rsidRPr="00B54ECC">
        <w:rPr>
          <w:rFonts w:ascii="Garamond" w:hAnsi="Garamond"/>
          <w:sz w:val="22"/>
        </w:rPr>
        <w:t xml:space="preserve"> </w:t>
      </w:r>
      <w:bookmarkStart w:id="31" w:name="_Hlk145845993"/>
      <w:r w:rsidRPr="00B54ECC">
        <w:rPr>
          <w:rFonts w:ascii="Garamond" w:hAnsi="Garamond"/>
          <w:sz w:val="22"/>
        </w:rPr>
        <w:fldChar w:fldCharType="begin" w:fldLock="1"/>
      </w:r>
      <w:r w:rsidRPr="00B54ECC">
        <w:rPr>
          <w:rFonts w:ascii="Garamond" w:hAnsi="Garamond"/>
          <w:sz w:val="22"/>
        </w:rPr>
        <w:instrText>ADDIN CSL_CITATION {"citationItems":[{"id":"ITEM-1","itemData":{"author":[{"dropping-particle":"","family":"Wijayakusuma","given":"H.","non-dropping-particle":"","parse-names":false,"suffix":""}],"edition":"1st Ed.","id":"ITEM-1","issued":{"date-parts":[["1999"]]},"publisher":"Pustaka Kartini","publisher-place":"Jakarta","title":"Tanaman Berkhasiat Obat di Indonesia","type":"book"},"uris":["http://www.mendeley.com/documents/?uuid=229ee048-8671-4832-b8db-2cdfb3b152e7"]}],"mendeley":{"formattedCitation":"(Wijayakusuma, 1999)","plainTextFormattedCitation":"(Wijayakusuma, 1999)","previouslyFormattedCitation":"(Wijayakusuma, 1999)"},"properties":{"noteIndex":0},"schema":"https://github.com/citation-style-language/schema/raw/master/csl-citation.json"}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(Wijayakusuma, 1999)</w:t>
      </w:r>
      <w:r w:rsidRPr="00B54ECC">
        <w:rPr>
          <w:rFonts w:ascii="Garamond" w:hAnsi="Garamond"/>
          <w:sz w:val="22"/>
        </w:rPr>
        <w:fldChar w:fldCharType="end"/>
      </w:r>
      <w:r w:rsidRPr="00B54ECC">
        <w:rPr>
          <w:rFonts w:ascii="Garamond" w:hAnsi="Garamond"/>
          <w:sz w:val="22"/>
          <w:lang w:val="id-ID"/>
        </w:rPr>
        <w:t>.</w:t>
      </w:r>
      <w:bookmarkEnd w:id="31"/>
    </w:p>
    <w:p w:rsidR="00A60AAA" w:rsidRPr="00B54ECC" w:rsidRDefault="00A60AAA" w:rsidP="00A60AAA">
      <w:pPr>
        <w:spacing w:before="280"/>
        <w:ind w:firstLine="0"/>
        <w:rPr>
          <w:rFonts w:ascii="Garamond" w:hAnsi="Garamond"/>
          <w:sz w:val="22"/>
          <w:lang w:val="id-ID"/>
        </w:rPr>
      </w:pPr>
      <w:r w:rsidRPr="00B54ECC">
        <w:rPr>
          <w:rFonts w:ascii="Garamond" w:hAnsi="Garamond"/>
          <w:noProof/>
          <w:sz w:val="22"/>
        </w:rPr>
        <w:drawing>
          <wp:inline distT="0" distB="0" distL="0" distR="0" wp14:anchorId="32B68320" wp14:editId="1ED12DEE">
            <wp:extent cx="2957095" cy="2157562"/>
            <wp:effectExtent l="0" t="0" r="0" b="0"/>
            <wp:docPr id="93459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94308" name=""/>
                    <pic:cNvPicPr/>
                  </pic:nvPicPr>
                  <pic:blipFill>
                    <a:blip r:embed="rId9"/>
                    <a:stretch>
                      <a:fillRect/>
                    </a:stretch>
                  </pic:blipFill>
                  <pic:spPr>
                    <a:xfrm>
                      <a:off x="0" y="0"/>
                      <a:ext cx="2974877" cy="2170536"/>
                    </a:xfrm>
                    <a:prstGeom prst="rect">
                      <a:avLst/>
                    </a:prstGeom>
                  </pic:spPr>
                </pic:pic>
              </a:graphicData>
            </a:graphic>
          </wp:inline>
        </w:drawing>
      </w:r>
    </w:p>
    <w:p w:rsidR="00A60AAA" w:rsidRPr="00B54ECC" w:rsidRDefault="00A60AAA" w:rsidP="00A60AAA">
      <w:pPr>
        <w:spacing w:before="280"/>
        <w:ind w:firstLine="0"/>
        <w:rPr>
          <w:rFonts w:ascii="Garamond" w:hAnsi="Garamond"/>
          <w:i/>
          <w:iCs/>
          <w:sz w:val="22"/>
          <w:lang w:val="id-ID"/>
        </w:rPr>
      </w:pPr>
      <w:r w:rsidRPr="00B54ECC">
        <w:rPr>
          <w:rFonts w:ascii="Garamond" w:hAnsi="Garamond"/>
          <w:b/>
          <w:sz w:val="22"/>
        </w:rPr>
        <w:t xml:space="preserve">Figure </w:t>
      </w:r>
      <w:r w:rsidRPr="00B54ECC">
        <w:rPr>
          <w:rFonts w:ascii="Garamond" w:hAnsi="Garamond"/>
          <w:b/>
          <w:sz w:val="22"/>
        </w:rPr>
        <w:fldChar w:fldCharType="begin"/>
      </w:r>
      <w:r w:rsidRPr="00B54ECC">
        <w:rPr>
          <w:rFonts w:ascii="Garamond" w:hAnsi="Garamond"/>
          <w:b/>
          <w:sz w:val="22"/>
        </w:rPr>
        <w:instrText xml:space="preserve"> SEQ "Figure" \* MERGEFORMAT </w:instrText>
      </w:r>
      <w:r w:rsidRPr="00B54ECC">
        <w:rPr>
          <w:rFonts w:ascii="Garamond" w:hAnsi="Garamond"/>
          <w:b/>
          <w:sz w:val="22"/>
        </w:rPr>
        <w:fldChar w:fldCharType="separate"/>
      </w:r>
      <w:r w:rsidRPr="00B54ECC">
        <w:rPr>
          <w:rFonts w:ascii="Garamond" w:hAnsi="Garamond"/>
          <w:b/>
          <w:sz w:val="22"/>
        </w:rPr>
        <w:t>1</w:t>
      </w:r>
      <w:r w:rsidRPr="00B54ECC">
        <w:rPr>
          <w:rFonts w:ascii="Garamond" w:hAnsi="Garamond"/>
          <w:sz w:val="22"/>
        </w:rPr>
        <w:fldChar w:fldCharType="end"/>
      </w:r>
      <w:r w:rsidRPr="00B54ECC">
        <w:rPr>
          <w:rFonts w:ascii="Garamond" w:hAnsi="Garamond"/>
          <w:b/>
          <w:sz w:val="22"/>
        </w:rPr>
        <w:t>.</w:t>
      </w:r>
      <w:r w:rsidRPr="00B54ECC">
        <w:rPr>
          <w:rFonts w:ascii="Garamond" w:hAnsi="Garamond"/>
          <w:sz w:val="22"/>
        </w:rPr>
        <w:t xml:space="preserve"> </w:t>
      </w:r>
      <w:r w:rsidRPr="00B54ECC">
        <w:rPr>
          <w:rFonts w:ascii="Garamond" w:hAnsi="Garamond"/>
          <w:iCs/>
          <w:sz w:val="22"/>
          <w:lang w:val="id-ID"/>
        </w:rPr>
        <w:t xml:space="preserve">Results of Document Analysis of </w:t>
      </w:r>
      <w:r w:rsidRPr="00B54ECC">
        <w:rPr>
          <w:rFonts w:ascii="Garamond" w:hAnsi="Garamond"/>
          <w:iCs/>
          <w:sz w:val="22"/>
        </w:rPr>
        <w:t xml:space="preserve">Senior </w:t>
      </w:r>
      <w:r w:rsidRPr="00B54ECC">
        <w:rPr>
          <w:rFonts w:ascii="Garamond" w:hAnsi="Garamond"/>
          <w:iCs/>
          <w:sz w:val="22"/>
          <w:lang w:val="id-ID"/>
        </w:rPr>
        <w:t xml:space="preserve">High School </w:t>
      </w:r>
      <w:r w:rsidRPr="00B54ECC">
        <w:rPr>
          <w:rFonts w:ascii="Garamond" w:hAnsi="Garamond"/>
          <w:iCs/>
          <w:sz w:val="22"/>
        </w:rPr>
        <w:t xml:space="preserve">in </w:t>
      </w:r>
      <w:r w:rsidRPr="00B54ECC">
        <w:rPr>
          <w:rFonts w:ascii="Garamond" w:hAnsi="Garamond"/>
          <w:iCs/>
          <w:sz w:val="22"/>
          <w:lang w:val="id-ID"/>
        </w:rPr>
        <w:t>Biology Material</w:t>
      </w:r>
      <w:r w:rsidRPr="00B54ECC">
        <w:rPr>
          <w:rFonts w:ascii="Garamond" w:hAnsi="Garamond"/>
          <w:iCs/>
          <w:sz w:val="22"/>
          <w:lang w:val="id-ID"/>
        </w:rPr>
        <w:br/>
      </w:r>
      <w:proofErr w:type="spellStart"/>
      <w:r w:rsidRPr="00B54ECC">
        <w:rPr>
          <w:rFonts w:ascii="Garamond" w:hAnsi="Garamond"/>
          <w:iCs/>
          <w:sz w:val="22"/>
        </w:rPr>
        <w:t>Souce</w:t>
      </w:r>
      <w:proofErr w:type="spellEnd"/>
      <w:r w:rsidRPr="00B54ECC">
        <w:rPr>
          <w:rFonts w:ascii="Garamond" w:hAnsi="Garamond"/>
          <w:iCs/>
          <w:sz w:val="22"/>
        </w:rPr>
        <w:t>:</w:t>
      </w:r>
      <w:r w:rsidRPr="00B54ECC">
        <w:rPr>
          <w:rFonts w:ascii="Garamond" w:hAnsi="Garamond"/>
          <w:iCs/>
          <w:sz w:val="22"/>
          <w:lang w:val="id-ID"/>
        </w:rPr>
        <w:t xml:space="preserve"> </w:t>
      </w:r>
      <w:r w:rsidRPr="00B54ECC">
        <w:rPr>
          <w:rFonts w:ascii="Garamond" w:hAnsi="Garamond"/>
          <w:iCs/>
          <w:sz w:val="22"/>
          <w:lang w:val="id-ID"/>
        </w:rPr>
        <w:fldChar w:fldCharType="begin" w:fldLock="1"/>
      </w:r>
      <w:r w:rsidRPr="00B54ECC">
        <w:rPr>
          <w:rFonts w:ascii="Garamond" w:hAnsi="Garamond"/>
          <w:iCs/>
          <w:sz w:val="22"/>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approach.","author":[{"dropping-particle":"","family":"Puspaningsih","given":"Ayuk Ratna","non-dropping-particle":"","parse-names":false,"suffix":""},{"dropping-particle":"","family":"Tjahjadarmawan","given":"Elizabeth","non-dropping-particle":"","parse-names":false,"suffix":""},{"dropping-particle":"","family":"Krisdianti","given":"Niken Resminingpuri","non-dropping-particle":"","parse-names":false,"suffix":""}],"id":"ITEM-1","issued":{"date-parts":[["2021"]]},"publisher":"Pusat Kurikulum dan Perbukuan, Kementerian Pendidikan, Kebudayaan, Riset, dan Teknologi","publisher-place":"Jakarta","title":"Ilmu Pengetahuan Alam","type":"book"},"uris":["http://www.mendeley.com/documents/?uuid=6e4ec133-92c4-451d-a644-8a1f20edc13d"]}],"mendeley":{"formattedCitation":"(Puspaningsih et al., 2021)","plainTextFormattedCitation":"(Puspaningsih et al., 2021)","previouslyFormattedCitation":"(Puspaningsih et al., 2021)"},"properties":{"noteIndex":0},"schema":"https://github.com/citation-style-language/schema/raw/master/csl-citation.json"}</w:instrText>
      </w:r>
      <w:r w:rsidRPr="00B54ECC">
        <w:rPr>
          <w:rFonts w:ascii="Garamond" w:hAnsi="Garamond"/>
          <w:iCs/>
          <w:sz w:val="22"/>
          <w:lang w:val="id-ID"/>
        </w:rPr>
        <w:fldChar w:fldCharType="separate"/>
      </w:r>
      <w:r w:rsidRPr="00B54ECC">
        <w:rPr>
          <w:rFonts w:ascii="Garamond" w:hAnsi="Garamond"/>
          <w:iCs/>
          <w:noProof/>
          <w:sz w:val="22"/>
          <w:lang w:val="id-ID"/>
        </w:rPr>
        <w:t>(Puspaningsih et al., 2021)</w:t>
      </w:r>
      <w:r w:rsidRPr="00B54ECC">
        <w:rPr>
          <w:rFonts w:ascii="Garamond" w:hAnsi="Garamond"/>
          <w:sz w:val="22"/>
        </w:rPr>
        <w:fldChar w:fldCharType="end"/>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The observation findings align with the results of the document analysis used in teaching biology. Examples of documents used in the learning process are presented in Fig. 1. Through the analysis of documents in the implementation of biology teaching that we examined, we found that the material on medicinal plants is taught briefly and is often only mentioned in the context of biodiversity. The material on medicinal plants seems to receive insufficient attention in the curriculum or existing lesson plans. Other findings from the document analysis include: (1) Material on medicinal plants is taught briefly, often as a small part of the discussion on biodiversity. (2) This brief material tends not to provide sufficient detail or context for students to understand the importance of medicinal plants in the field of biology and daily life. Students may lack adequate understanding of the processes of extracting active compounds from medicinal plants, the ecological relationships of medicinal plants with the environment, or the medical applications of medicinal plants. (3) The analysis results also indicate that there are no practical activities related to medicinal plants. Students may not have the opportunity to observe medicinal plants directly or engage in experiments related to medicinal plants, which could help enhance their understanding. (4) Material on medicinal plants tends to be placed within the broader context of biodiversity in general. This means that students may not see a deeper connection between medicinal plants and other biological concepts such as plant reproduction, photosynthesis, or evolution.</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The results of the document analysis of the learning materials indicate that the content related to medicinal plants is often presented briefly and lacks depth. This finding is consistent with previous research, which identified one of the main reasons for the brief coverage of medicinal plant content as the time constraints within the curriculum</w:t>
      </w:r>
      <w:r w:rsidRPr="00B54ECC">
        <w:rPr>
          <w:rFonts w:ascii="Garamond" w:hAnsi="Garamond"/>
          <w:sz w:val="22"/>
        </w:rPr>
        <w:t xml:space="preserve"> </w:t>
      </w:r>
      <w:bookmarkStart w:id="32" w:name="_Hlk145846144"/>
      <w:r w:rsidRPr="00B54ECC">
        <w:rPr>
          <w:rFonts w:ascii="Garamond" w:hAnsi="Garamond"/>
          <w:sz w:val="22"/>
        </w:rPr>
        <w:fldChar w:fldCharType="begin" w:fldLock="1"/>
      </w:r>
      <w:r w:rsidRPr="00B54ECC">
        <w:rPr>
          <w:rFonts w:ascii="Garamond" w:hAnsi="Garamond"/>
          <w:sz w:val="22"/>
        </w:rPr>
        <w:instrText>ADDIN CSL_CITATION {"citationItems":[{"id":"ITEM-1","itemData":{"DOI":"10.29333/ejmste/9344","abstract":"To prove the credibility of empirical and theoretical claims about the ties between problem-based learning (PBL) and educational outcomes, this study investigates the role of PBL as a teaching model to enhance students’ learning activities and outcomes in South Sulawesi located in rural Indonesia. The study subjects included first graders at a junior high school who achieved lower levels academically than pupils in other regions. This study involved classroom activities conducted in two cycles, each comprising routine of planning, action, observation, and reflection. Observation sheets and evaluation tests were used to measure students’ learning activities and outcomes. The data were subjected to qualitative and quantitative analyses. The results showed that the students’ learning activities and outcomes in biology class were improved from the first to the second cycle, suggesting successful resolution of students’ difficulties and enhanced performance. In addition, teachers improved their effectiveness by implementing PBL, even though they lacked prior knowledge. Therefore, this study may be useful for practitioners especially teachers administering PBL. PBL is an effective approach that may be incorporated into teaching curriculum by science teachers.","author":[{"dropping-particle":"","family":"Sakir","given":"Noviana Astuti Irna","non-dropping-particle":"","parse-names":false,"suffix":""},{"dropping-particle":"","family":"Kim","given":"Jae Geun","non-dropping-particle":"","parse-names":false,"suffix":""}],"container-title":"Eurasia Journal of Mathematics, Science and Technology Education","id":"ITEM-1","issue":"12","issued":{"date-parts":[["2020"]]},"page":"1-12","title":"Enhancing Students’ Learning Activity and Outcomes via Implementation of Problem-based Learning","type":"article-journal","volume":"16"},"uris":["http://www.mendeley.com/documents/?uuid=4e6604f2-a9bb-4df1-8e09-d49676f35891"]}],"mendeley":{"formattedCitation":"(Sakir &amp; Kim, 2020)","plainTextFormattedCitation":"(Sakir &amp; Kim, 2020)","previouslyFormattedCitation":"(Sakir &amp; Kim, 2020)"},"properties":{"noteIndex":0},"schema":"https://github.com/citation-style-language/schema/raw/master/csl-citation.json"}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(Sakir &amp; Kim, 2020)</w:t>
      </w:r>
      <w:r w:rsidRPr="00B54ECC">
        <w:rPr>
          <w:rFonts w:ascii="Garamond" w:hAnsi="Garamond"/>
          <w:sz w:val="22"/>
        </w:rPr>
        <w:fldChar w:fldCharType="end"/>
      </w:r>
      <w:r w:rsidRPr="00B54ECC">
        <w:rPr>
          <w:rFonts w:ascii="Garamond" w:hAnsi="Garamond"/>
          <w:sz w:val="22"/>
          <w:lang w:val="id-ID"/>
        </w:rPr>
        <w:t xml:space="preserve">. </w:t>
      </w:r>
      <w:bookmarkEnd w:id="32"/>
      <w:r w:rsidRPr="00B54ECC">
        <w:rPr>
          <w:rFonts w:ascii="Garamond" w:hAnsi="Garamond"/>
          <w:sz w:val="22"/>
          <w:lang w:val="id-ID"/>
        </w:rPr>
        <w:t>High school curricula are often quite packed, and teachers must cover many topics in a limited time. Therefore, the medicinal plant material is frequently overlooked or condensed to make room for other topics considered more crucial.</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 xml:space="preserve">The research results </w:t>
      </w:r>
      <w:bookmarkStart w:id="33" w:name="_Hlk145846137"/>
      <w:r w:rsidRPr="00B54ECC">
        <w:rPr>
          <w:rFonts w:ascii="Garamond" w:hAnsi="Garamond"/>
          <w:sz w:val="22"/>
          <w:lang w:val="id-ID"/>
        </w:rPr>
        <w:fldChar w:fldCharType="begin" w:fldLock="1"/>
      </w:r>
      <w:r w:rsidRPr="00B54ECC">
        <w:rPr>
          <w:rFonts w:ascii="Garamond" w:hAnsi="Garamond"/>
          <w:sz w:val="22"/>
          <w:lang w:val="id-ID"/>
        </w:rPr>
        <w:instrText>ADDIN CSL_CITATION {"citationItems":[{"id":"ITEM-1","itemData":{"abstract":"Galileo wrote that \"the book of nature is written in the language of mathematics\"; his quantitative approach to understanding the natural world arguably marks the beginning of modern science. Nearly 400 years later, the fragmented teaching of science in our universities still leaves biology outside the quantitative and mathematical culture that has come to define the physical sciences and engineering. This strikes us as particularly inopportune at a time when opportunities for quantitative thinking about biological systems are exploding. We propose that a way out of this dilemma is a unified introductory science curriculum that fully incorporates mathematics and quantitative thinking.","author":[{"dropping-particle":"","family":"Botstein","given":"David","non-dropping-particle":"","parse-names":false,"suffix":""},{"dropping-particle":"","family":"Bialek","given":"William","non-dropping-particle":"","parse-names":false,"suffix":""}],"container-title":"Science","id":"ITEM-1","issue":"5659","issued":{"date-parts":[["2004"]]},"page":"788-790","publisher":"American Association for the Advancement of Science","title":"Introductory science and mathematics education for 21st-Century biologists.","type":"article-journal","volume":"303"},"uris":["http://www.mendeley.com/documents/?uuid=18e34ee9-908e-327d-9fb9-79c6f8d392a3"]}],"mendeley":{"formattedCitation":"(Botstein &amp; Bialek, 2004)","plainTextFormattedCitation":"(Botstein &amp; Bialek, 2004)","previouslyFormattedCitation":"(Botstein &amp; Bialek, 2004)"},"properties":{"noteIndex":0},"schema":"https://github.com/citation-style-language/schema/raw/master/csl-citation.json"}</w:instrText>
      </w:r>
      <w:r w:rsidRPr="00B54ECC">
        <w:rPr>
          <w:rFonts w:ascii="Garamond" w:hAnsi="Garamond"/>
          <w:sz w:val="22"/>
          <w:lang w:val="id-ID"/>
        </w:rPr>
        <w:fldChar w:fldCharType="separate"/>
      </w:r>
      <w:r w:rsidRPr="00B54ECC">
        <w:rPr>
          <w:rFonts w:ascii="Garamond" w:hAnsi="Garamond"/>
          <w:noProof/>
          <w:sz w:val="22"/>
          <w:lang w:val="id-ID"/>
        </w:rPr>
        <w:t>(Botstein &amp; Bialek, 2004)</w:t>
      </w:r>
      <w:r w:rsidRPr="00B54ECC">
        <w:rPr>
          <w:rFonts w:ascii="Garamond" w:hAnsi="Garamond"/>
          <w:sz w:val="22"/>
        </w:rPr>
        <w:fldChar w:fldCharType="end"/>
      </w:r>
      <w:bookmarkEnd w:id="33"/>
      <w:r w:rsidRPr="00B54ECC">
        <w:rPr>
          <w:rFonts w:ascii="Garamond" w:hAnsi="Garamond"/>
          <w:sz w:val="22"/>
        </w:rPr>
        <w:t xml:space="preserve"> </w:t>
      </w:r>
      <w:r w:rsidRPr="00B54ECC">
        <w:rPr>
          <w:rFonts w:ascii="Garamond" w:hAnsi="Garamond"/>
          <w:sz w:val="22"/>
          <w:lang w:val="id-ID"/>
        </w:rPr>
        <w:t xml:space="preserve">also highlight that a lack of resources and relevant teaching materials for medicinal plant content can be a barrier to in-depth instruction. Teachers may not have access to the necessary medicinal plants or equipment needed to teach this material effectively. Additionally, the research findings </w:t>
      </w:r>
      <w:bookmarkStart w:id="34" w:name="_Hlk145846129"/>
      <w:r w:rsidRPr="00B54ECC">
        <w:rPr>
          <w:rFonts w:ascii="Garamond" w:hAnsi="Garamond"/>
          <w:sz w:val="22"/>
          <w:lang w:val="id-ID"/>
        </w:rPr>
        <w:fldChar w:fldCharType="begin" w:fldLock="1"/>
      </w:r>
      <w:r w:rsidRPr="00B54ECC">
        <w:rPr>
          <w:rFonts w:ascii="Garamond" w:hAnsi="Garamond"/>
          <w:sz w:val="22"/>
          <w:lang w:val="id-ID"/>
        </w:rPr>
        <w:instrText>ADDIN CSL_CITATION {"citationItems":[{"id":"ITEM-1","itemData":{"DOI":"10.1016/j.rsma.2019.100886","ISSN":"23524855","abstract":"Field-based, hands-on experiential learning is a mainstay of meaningful environmental science education throughout a student's school career. Engaging K-12 students in field-based, experiential learning can help develop true passion and commitment to STEM (Science, Technology, Engineering, Math) subjects, allowing students to apply their skills and content knowledge in an authentic, experiential context while enhancing many academic skills and engaging them in contextualized learning across disciplines. To develop an environmentally literate population, and to solve the increasingly complex environmental issues facing society, there is a need to increase students’ access to environmental education field experiences and to connect these outdoor experiences to relevant curricula within the classroom. This is especially important in urban environments, where citizens and students may be less connected on a day-to-day basis with nature. Examples of programs in two regions that model this approach are the Billion Oyster Project-Curriculum and Community Enterprise for Restoration Science STEM-C-Project (STEM, plus computing), in New York City, and the combined efforts of the Maryland Environmental Literacy Partnership (MELP) and the NOAA Bay-Watershed Education and Training (B-WET) program, both of which focus on the Chesapeake Bay, its watershed, and Baltimore Harbor. Both regions have invested in education programs that take advantage of their harbor/waterway locations and their maritime cultures and histories. The NYC program centers around ‘Oyster Restoration Stations’ visited by middle-school students and citizen scientists, who use a common set of protocols and a matching digital platform interface to record data including water quality and oyster biology. The Chesapeake programs, utilize both public and private partnerships to support teachers in designing inquiry-based field investigations to support curriculum underpinning the nation's first state mandated environmental literacy requirement for high school graduation. These two regional programs provide models for implementing experiential hands-on learning in environmental science and ecology for other urban areas.","author":[{"dropping-particle":"","family":"O'Neil","given":"J. M.","non-dropping-particle":"","parse-names":false,"suffix":""},{"dropping-particle":"","family":"Newton","given":"R. J.","non-dropping-particle":"","parse-names":false,"suffix":""},{"dropping-particle":"","family":"Bone","given":"E. K.","non-dropping-particle":"","parse-names":false,"suffix":""},{"dropping-particle":"","family":"Birney","given":"L. B.","non-dropping-particle":"","parse-names":false,"suffix":""},{"dropping-particle":"","family":"Green","given":"A. E.","non-dropping-particle":"","parse-names":false,"suffix":""},{"dropping-particle":"","family":"Merrick","given":"B.","non-dropping-particle":"","parse-names":false,"suffix":""},{"dropping-particle":"","family":"Goodwin-Segal","given":"T.","non-dropping-particle":"","parse-names":false,"suffix":""},{"dropping-particle":"","family":"Moore","given":"G.","non-dropping-particle":"","parse-names":false,"suffix":""},{"dropping-particle":"","family":"Fraioli","given":"A.","non-dropping-particle":"","parse-names":false,"suffix":""}],"container-title":"Regional Studies in Marine Science","id":"ITEM-1","issued":{"date-parts":[["2020"]]},"page":"100886","publisher":"Elsevier B.V.","title":"Using urban harbors for experiential, environmental literacy: Case studies of New York and Chesapeake Bay","type":"article-journal","volume":"33"},"uris":["http://www.mendeley.com/documents/?uuid=7766843f-ce40-4032-823b-de17a9f89126"]}],"mendeley":{"formattedCitation":"(O’Neil et al., 2020)","plainTextFormattedCitation":"(O’Neil et al., 2020)","previouslyFormattedCitation":"(O’Neil et al., 2020)"},"properties":{"noteIndex":0},"schema":"https://github.com/citation-style-language/schema/raw/master/csl-citation.json"}</w:instrText>
      </w:r>
      <w:r w:rsidRPr="00B54ECC">
        <w:rPr>
          <w:rFonts w:ascii="Garamond" w:hAnsi="Garamond"/>
          <w:sz w:val="22"/>
          <w:lang w:val="id-ID"/>
        </w:rPr>
        <w:fldChar w:fldCharType="separate"/>
      </w:r>
      <w:r w:rsidRPr="00B54ECC">
        <w:rPr>
          <w:rFonts w:ascii="Garamond" w:hAnsi="Garamond"/>
          <w:noProof/>
          <w:sz w:val="22"/>
          <w:lang w:val="id-ID"/>
        </w:rPr>
        <w:t>(O’Neil et al., 2020)</w:t>
      </w:r>
      <w:r w:rsidRPr="00B54ECC">
        <w:rPr>
          <w:rFonts w:ascii="Garamond" w:hAnsi="Garamond"/>
          <w:sz w:val="22"/>
        </w:rPr>
        <w:fldChar w:fldCharType="end"/>
      </w:r>
      <w:bookmarkEnd w:id="34"/>
      <w:r w:rsidRPr="00B54ECC">
        <w:rPr>
          <w:rFonts w:ascii="Garamond" w:hAnsi="Garamond"/>
          <w:sz w:val="22"/>
        </w:rPr>
        <w:t xml:space="preserve"> </w:t>
      </w:r>
      <w:r w:rsidRPr="00B54ECC">
        <w:rPr>
          <w:rFonts w:ascii="Garamond" w:hAnsi="Garamond"/>
          <w:sz w:val="22"/>
          <w:lang w:val="id-ID"/>
        </w:rPr>
        <w:t>note the lack of practical experiences in learning about medicinal plants. Students may not have opportunities to observe medicinal plants directly or engage in experiments that could help them understand concepts related to medicinal plants</w:t>
      </w:r>
      <w:r w:rsidRPr="00B54ECC">
        <w:rPr>
          <w:rFonts w:ascii="Garamond" w:hAnsi="Garamond"/>
          <w:sz w:val="22"/>
        </w:rPr>
        <w:t xml:space="preserve"> </w:t>
      </w:r>
      <w:bookmarkStart w:id="35" w:name="_Hlk145846122"/>
      <w:r w:rsidRPr="00B54ECC">
        <w:rPr>
          <w:rFonts w:ascii="Garamond" w:hAnsi="Garamond"/>
          <w:sz w:val="22"/>
        </w:rPr>
        <w:fldChar w:fldCharType="begin" w:fldLock="1"/>
      </w:r>
      <w:r w:rsidRPr="00B54ECC">
        <w:rPr>
          <w:rFonts w:ascii="Garamond" w:hAnsi="Garamond"/>
          <w:sz w:val="22"/>
        </w:rPr>
        <w:instrText>ADDIN CSL_CITATION {"citationItems":[{"id":"ITEM-1","itemData":{"DOI":"10.1093/femsle/fnw159","abstract":"Although problem-based learning (PBL) has been used for over 40 years, with many studies that compare the benefits of PBL versus other educational approaches, little attention has been paid to the effectiveness of hybrid PBL (H-PBL) curriculums. Here we aimed to compare the learning outcomes of two groups of undergraduate biology students working towards a bachelor degree: one group used a H-PBL approach, while the second used a lecture-based learning (LBL) approach. Specifically, the H-PBL group used a PBL module with interdisciplinary problems, which represented 20% of the entire curriculum. The main outcomes of evaluation were the long-term factual knowledge acquisition and the problem-solving skills at the end of the bachelor's degree. The sample included 85 students, 39 in the H-PBL group and 46 in the LBL group. We found that an H-PBL curriculum can improve the students’ learning outcomes such as long-term knowledge acquisition, problem solving skills and generic competences.","author":[{"dropping-particle":"","family":"Carrió","given":"Mar","non-dropping-particle":"","parse-names":false,"suffix":""},{"dropping-particle":"","family":"Agell","given":"Laia","non-dropping-particle":"","parse-names":false,"suffix":""},{"dropping-particle":"","family":"Banos","given":"Josep-E","non-dropping-particle":"","parse-names":false,"suffix":""},{"dropping-particle":"","family":"Moyano","given":"Elisabeth","non-dropping-particle":"","parse-names":false,"suffix":""},{"dropping-particle":"","family":"Larramona","given":"Pilar","non-dropping-particle":"","parse-names":false,"suffix":""},{"dropping-particle":"","family":"´erez","given":"Jorge P","non-dropping-particle":"","parse-names":false,"suffix":""}],"container-title":"FEMS Microbiology Letters","id":"ITEM-1","issued":{"date-parts":[["2016"]]},"page":"1-8","title":"Benefits of using a hybrid problem-based learning curriculum to improve long-term learning acquisition in undergraduate biology education","type":"article-journal","volume":"363"},"uris":["http://www.mendeley.com/documents/?uuid=7c546c43-3711-41a3-b4ec-5335ef64a925"]}],"mendeley":{"formattedCitation":"(Carrió et al., 2016)","plainTextFormattedCitation":"(Carrió et al., 2016)","previouslyFormattedCitation":"(Carrió et al., 2016)"},"properties":{"noteIndex":0},"schema":"https://github.com/citation-style-language/schema/raw/master/csl-citation.json"}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(Carrió et al., 2016)</w:t>
      </w:r>
      <w:r w:rsidRPr="00B54ECC">
        <w:rPr>
          <w:rFonts w:ascii="Garamond" w:hAnsi="Garamond"/>
          <w:sz w:val="22"/>
        </w:rPr>
        <w:fldChar w:fldCharType="end"/>
      </w:r>
      <w:r w:rsidRPr="00B54ECC">
        <w:rPr>
          <w:rFonts w:ascii="Garamond" w:hAnsi="Garamond"/>
          <w:sz w:val="22"/>
          <w:lang w:val="id-ID"/>
        </w:rPr>
        <w:t>.</w:t>
      </w:r>
      <w:bookmarkEnd w:id="35"/>
    </w:p>
    <w:p w:rsidR="00A60AAA" w:rsidRPr="00B54ECC" w:rsidRDefault="00A60AAA" w:rsidP="00A60AAA">
      <w:pPr>
        <w:spacing w:before="280"/>
        <w:ind w:firstLine="0"/>
        <w:jc w:val="both"/>
        <w:rPr>
          <w:rFonts w:ascii="Garamond" w:hAnsi="Garamond"/>
          <w:sz w:val="22"/>
        </w:rPr>
      </w:pPr>
      <w:r w:rsidRPr="00B54ECC">
        <w:rPr>
          <w:rFonts w:ascii="Garamond" w:hAnsi="Garamond"/>
          <w:sz w:val="22"/>
          <w:lang w:val="id-ID"/>
        </w:rPr>
        <w:lastRenderedPageBreak/>
        <w:t>The research findings underscore the importance of reevaluating the teaching approach for medicinal plant content at the high school level. There is a need to better integrate medicinal plant material into the curriculum, allocate more time for in-depth understanding, and create relevant practical experiences for students. In this way, students can develop a stronger understanding of medicinal plants and their relationship to the field of biology as a whole</w:t>
      </w:r>
      <w:r w:rsidRPr="00B54ECC">
        <w:rPr>
          <w:rFonts w:ascii="Garamond" w:hAnsi="Garamond"/>
          <w:sz w:val="22"/>
        </w:rPr>
        <w:t>.</w:t>
      </w:r>
    </w:p>
    <w:p w:rsidR="00A60AAA" w:rsidRPr="00B54ECC" w:rsidRDefault="00A60AAA" w:rsidP="00A60AAA">
      <w:pPr>
        <w:tabs>
          <w:tab w:val="num" w:pos="567"/>
        </w:tabs>
        <w:spacing w:before="280"/>
        <w:ind w:firstLine="0"/>
        <w:jc w:val="both"/>
        <w:rPr>
          <w:rFonts w:ascii="Garamond" w:hAnsi="Garamond"/>
          <w:b/>
          <w:sz w:val="22"/>
        </w:rPr>
      </w:pPr>
      <w:r w:rsidRPr="00B54ECC">
        <w:rPr>
          <w:rFonts w:ascii="Garamond" w:hAnsi="Garamond"/>
          <w:b/>
          <w:bCs/>
          <w:sz w:val="22"/>
          <w:lang w:val="id-ID"/>
        </w:rPr>
        <w:t>Opportunities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Opportunities refer to external environmental conditions that are favorable and can even be a weapon for an organization if utilized, potentially becoming an advantage in advancing an organization or educational institution</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{"citationItems":[{"id":"ITEM-1","itemData":{"DOI":"10.1016/j.lrp.2023.102304","ISSN":"18731872","abstract":"The origins of SWOT analysis have been enigmatic, until now. With archival research, interviews with experts and a review of the available literature, this paper reconstructs the original SOFT/SWOT approach, and draws potential implications. During a firm's planning process, all managers are asked to write down 8 to 10 key planning issues faced by their units. Each manager grades, with evidence, these issues as either safeguarding the Satisfactory; opening Opportunities; fixing Faults; or thwarting Threats: hence SOFT (which is later merely relabeled to Strengths, Weaknesses, Opportunities and Threats, or SWOT). Subgroups of managers have several dialogues about these issues with the instruction to include the needs and expectations of all the firm's stakeholders. Their developed resolutions or proposals become input for the executive planning committee to articulate corporate purpose(s) and strategies. SWOT's originator, Robert Franklin Stewart, emphasized the crucial role that creativity plays in the planning process. The SOFT/SWOT approach curbs mere top-down strategy making to the benefit of strategy alignment and implementation; Introducing digital means to parts of SWOT's original participative, long-range planning process, as suggested herein, could boost the effectiveness of organizational strategizing, communication and learning. Archival research into the deployment of SOFT/SWOT in practice is needed.","author":[{"dropping-particle":"","family":"Puyt","given":"Richard W.","non-dropping-particle":"","parse-names":false,"suffix":""},{"dropping-particle":"","family":"Lie","given":"Finn Birger","non-dropping-particle":"","parse-names":false,"suffix":""},{"dropping-particle":"","family":"Wilderom","given":"Celeste P.M.","non-dropping-particle":"","parse-names":false,"suffix":""}],"container-title":"Long Range Planning","id":"ITEM-1","issue":"3","issued":{"date-parts":[["2023"]]},"page":"102304","publisher":"Elsevier Ltd","title":"The origins of SWOT analysis","type":"article-journal","volume":"56"},"uris":["http://www.mendeley.com/documents/?uuid=06caad06-7498-4e33-9e25-89672126f1e4"]}],"mendeley":{"formattedCitation":"(Puyt et al., 2023)","plainTextFormattedCitation":"(Puyt et al., 2023)","previouslyFormattedCitation":"(Puyt et al.,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(Puyt et al., 2023)</w:t>
      </w:r>
      <w:r w:rsidRPr="00B54ECC">
        <w:rPr>
          <w:rFonts w:ascii="Garamond" w:hAnsi="Garamond"/>
          <w:sz w:val="22"/>
        </w:rPr>
        <w:fldChar w:fldCharType="end"/>
      </w:r>
      <w:r w:rsidRPr="00B54ECC">
        <w:rPr>
          <w:rFonts w:ascii="Garamond" w:hAnsi="Garamond"/>
          <w:sz w:val="22"/>
          <w:lang w:val="id-ID"/>
        </w:rPr>
        <w:t>. In the context of this study, opportunities pertain to opportunities related to the implementation of biology education and the prospects for developing medicinal plant materials in schools.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The results of interviews with Biology teachers (BT3 &amp; BT4) regarding opportunities state that:</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w:t>
      </w:r>
      <w:r w:rsidRPr="00B54ECC">
        <w:rPr>
          <w:rFonts w:ascii="Garamond" w:hAnsi="Garamond"/>
          <w:i/>
          <w:iCs/>
          <w:sz w:val="22"/>
          <w:lang w:val="id-ID"/>
        </w:rPr>
        <w:t>Integrating local ethnobotanical content from Karanganyar can help students understand the local culture and its relationship with the environment. This can enhance their pride in their cultural heritage. Students will have the opportunity to learn more about the plants that grow in the Karanganyar region, including their traditional uses and their significance in the local ecology and culture</w:t>
      </w:r>
      <w:r w:rsidRPr="00B54ECC">
        <w:rPr>
          <w:rFonts w:ascii="Garamond" w:hAnsi="Garamond"/>
          <w:sz w:val="22"/>
          <w:lang w:val="id-ID"/>
        </w:rPr>
        <w:t xml:space="preserve">." (BT3) </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w:t>
      </w:r>
      <w:r w:rsidRPr="00B54ECC">
        <w:rPr>
          <w:rFonts w:ascii="Garamond" w:hAnsi="Garamond"/>
          <w:i/>
          <w:iCs/>
          <w:sz w:val="22"/>
          <w:lang w:val="id-ID"/>
        </w:rPr>
        <w:t>Collaboration with B2P2TOOT (Center for Medicinal Plant Research and Development) provides schools with access to resources and experts in the field of medicinal and aromatic plants. This can enrich teaching and learning in the biology subject, especially those related to ethnobotany and biodiversity. Schools can organize field trips and visits to B2P2TO2T Tawangmangu. Students have the opportunity to see medicinal and aromatic plants up close, learn about their benefits, and understand their vital role in the ecosystem</w:t>
      </w:r>
      <w:r w:rsidRPr="00B54ECC">
        <w:rPr>
          <w:rFonts w:ascii="Garamond" w:hAnsi="Garamond"/>
          <w:sz w:val="22"/>
          <w:lang w:val="id-ID"/>
        </w:rPr>
        <w:t>." (BT4)</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Both of these teachers' statements indicate that integrating ethnobotany, local knowledge, and collaborating with external research institutions can enrich teaching and learning in the field of biology. These statements align with the research findings</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{"citationItems":[{"id":"ITEM-1","itemData":{"DOI":"10.1016/j.jik.2023.100307","ISSN":"2444569X","abstract":"College students are the new force of mass entrepreneurship and innovation. This study classifies 170,759 college students in China by province, based on the institutional theory, and employs necessary condition analysis (NCA) and fuzzy-set qualitative comparative analysis (fsQCA) to analyze six conditional factors at three levels: the regulatory, normative, and cognitive environment. Thereafter, this study empirically explores the influencing path and optimization mechanism of college students’ entrepreneurial willingness. The results indicate that: (1) A regulatory environment is necessary for high entrepreneurial willingness. (2) There are two types of innovation models that produce high entrepreneurial willingness. (3) The antecedent condition of the cognition system has a low impact on college students’ entrepreneurial willingness. The research conclusion expands the innovation perspective of the association between institutional theory and entrepreneurial willingness, helps to fully understand the influencing factors of college students’ entrepreneurial willingness, and provides theoretical reference and practical enlightenment for effectively stimulating college students’ entrepreneurial willingness.","author":[{"dropping-particle":"","family":"Huang","given":"Yangjie","non-dropping-particle":"","parse-names":false,"suffix":""},{"dropping-particle":"","family":"Bu","given":"Yajing","non-dropping-particle":"","parse-names":false,"suffix":""}],"container-title":"Journal of Innovation and Knowledge","id":"ITEM-1","issue":"1","issued":{"date-parts":[["2023"]]},"page":"100307","publisher":"Elsevier Espana, S.L.","title":"Institutional environment and college students’ entrepreneurial willingness: A comparative study of Chinese provinces based on fsQCA","type":"article-journal","volume":"8"},"uris":["http://www.mendeley.com/documents/?uuid=b0f2822b-5e34-45fb-b3dd-3f17d4d80460"]}],"mendeley":{"formattedCitation":"(Huang &amp; Bu, 2023)","plainTextFormattedCitation":"(Huang &amp; Bu, 2023)","previouslyFormattedCitation":"(Huang &amp; Bu,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(Huang &amp; Bu, 2023)</w:t>
      </w:r>
      <w:r w:rsidRPr="00B54ECC">
        <w:rPr>
          <w:rFonts w:ascii="Garamond" w:hAnsi="Garamond"/>
          <w:sz w:val="22"/>
        </w:rPr>
        <w:fldChar w:fldCharType="end"/>
      </w:r>
      <w:r w:rsidRPr="00B54ECC">
        <w:rPr>
          <w:rFonts w:ascii="Garamond" w:hAnsi="Garamond"/>
          <w:sz w:val="22"/>
          <w:lang w:val="id-ID"/>
        </w:rPr>
        <w:t xml:space="preserve"> that collaboration with external research institutions can help students better understand their local culture and enhance their understanding of biodiversity, as well as the role of plants in the local ecology and culture.</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The key takeaways from both teachers' statements can be summarized as follows: (1) both teachers emphasize the importance of integrating local cultural aspects and environmental knowledge into biology education, and (2) both teachers highlight the significance of field experiences in learning. Visits to B2P2TO2T Tawangmangu and field activities can enrich students' experiences and help them connect theoretical concepts with the real world.</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Previous research findings have highlighted the importance of integrating local cultural aspects and environmental knowledge into biology education</w:t>
      </w:r>
      <w:r w:rsidRPr="00B54ECC">
        <w:rPr>
          <w:rFonts w:ascii="Garamond" w:hAnsi="Garamond"/>
          <w:sz w:val="22"/>
        </w:rPr>
        <w:t xml:space="preserve"> </w:t>
      </w:r>
      <w:bookmarkStart w:id="36" w:name="_Hlk145846830"/>
      <w:r w:rsidRPr="00B54ECC">
        <w:rPr>
          <w:rFonts w:ascii="Garamond" w:hAnsi="Garamond"/>
          <w:sz w:val="22"/>
        </w:rPr>
        <w:fldChar w:fldCharType="begin" w:fldLock="1"/>
      </w:r>
      <w:r w:rsidRPr="00B54ECC">
        <w:rPr>
          <w:rFonts w:ascii="Garamond" w:hAnsi="Garamond"/>
          <w:sz w:val="22"/>
        </w:rPr>
        <w:instrText>ADDIN CSL_CITATION {"citationItems":[{"id":"ITEM-1","itemData":{"DOI":"10.1016/j.stueduc.2013.09.010","ISSN":"0191491X","abstract":"The purpose of this case study was to: (1) assess whether a group of 12 students from a rural Hawai'ian community acquired local environmental knowledge through a place-based environmental education program, and (2) determine how integration of cultural information into this program affected participants' views about their natural world. A tertiary objective was to develop and test a methodological approach for evaluating youth environmental education programs. Findings revealed a tripartite foundation of novel experiences, mentorship through social connections and learning about nature through a cultural lens facilitated a deeper understanding of nature and culture. Additionally, the mix of qualitative techniques effectively facilitated an in-depth understanding of program impacts on participants' views toward the local environment. © 2013 Elsevier Ltd.","author":[{"dropping-particle":"","family":"Thomas","given":"Rebecca E.W.","non-dropping-particle":"","parse-names":false,"suffix":""},{"dropping-particle":"","family":"Teel","given":"Tara L.","non-dropping-particle":"","parse-names":false,"suffix":""},{"dropping-particle":"","family":"Bruyere","given":"Brett L.","non-dropping-particle":"","parse-names":false,"suffix":""}],"container-title":"Studies in Educational Evaluation","id":"ITEM-1","issued":{"date-parts":[["2014"]]},"page":"58-67","publisher":"Elsevier Ltd","title":"Seeking excellence for the land of paradise: Integrating cultural information into an environmental education program in a rural Hawai'ian community","type":"article-journal","volume":"41"},"uris":["http://www.mendeley.com/documents/?uuid=1927d9b0-3b71-4c7e-82c8-0d21b70d2ce5"]}],"mendeley":{"formattedCitation":"(Thomas et al., 2014)","plainTextFormattedCitation":"(Thomas et al., 2014)","previouslyFormattedCitation":"(Thomas et al., 2014)"},"properties":{"noteIndex":0},"schema":"https://github.com/citation-style-language/schema/raw/master/csl-citation.json"}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(Thomas et al., 2014)</w:t>
      </w:r>
      <w:r w:rsidRPr="00B54ECC">
        <w:rPr>
          <w:rFonts w:ascii="Garamond" w:hAnsi="Garamond"/>
          <w:sz w:val="22"/>
        </w:rPr>
        <w:fldChar w:fldCharType="end"/>
      </w:r>
      <w:bookmarkEnd w:id="36"/>
      <w:r w:rsidRPr="00B54ECC">
        <w:rPr>
          <w:rFonts w:ascii="Garamond" w:hAnsi="Garamond"/>
          <w:sz w:val="22"/>
          <w:lang w:val="id-ID"/>
        </w:rPr>
        <w:t>, as well as the significance of field experiences or field trips in learning</w:t>
      </w:r>
      <w:r w:rsidRPr="00B54ECC">
        <w:rPr>
          <w:rFonts w:ascii="Garamond" w:hAnsi="Garamond"/>
          <w:sz w:val="22"/>
        </w:rPr>
        <w:t xml:space="preserve"> </w:t>
      </w:r>
      <w:bookmarkStart w:id="37" w:name="_Hlk145846816"/>
      <w:r w:rsidRPr="00B54ECC">
        <w:rPr>
          <w:rFonts w:ascii="Garamond" w:hAnsi="Garamond"/>
          <w:sz w:val="22"/>
        </w:rPr>
        <w:fldChar w:fldCharType="begin" w:fldLock="1"/>
      </w:r>
      <w:r w:rsidRPr="00B54ECC">
        <w:rPr>
          <w:rFonts w:ascii="Garamond" w:hAnsi="Garamond"/>
          <w:sz w:val="22"/>
        </w:rPr>
        <w:instrText>ADDIN CSL_CITATION {"citationItems":[{"id":"ITEM-1","itemData":{"DOI":"10.1016/j.heliyon.2023.e16324","ISSN":"24058440","abstract":"It is urgent to solve the gender issues in global cross-cultural communication. Countries worldwide should responsible for achieving gender equality (SDG5). Hence, the study aims to portray the knowledge map of the gender issue in intercultural communication to explore the research status and future potential. The study used CiteSpace to conduct a bibliometric method within 2728 English articles on cross-cultural communication and gender equality topics from the Web of Science (WoS). After cluster analysis and time series analysis, this study emphasis the continued attention and increasing trend of publications and elaborates on the critical authors, institutions, and countries of research on this issue. The results introduced Putnick as the dominant author contributed to the topic. The University of Oxford ranked the top1 in the institution cooperation relationship. Europe countries and the United States have made major contributions and influenced Asian and African countries, such as Burkina Faso, North Macedonia, and Kosovo. Gender issues in Asia and Africa are getting much attention. The keyword clusters formed by the authors' cooperation include gender equality, life satisfaction, network analysis, and alcohol use. In addition, childbirth technology, patient safety competition, life satisfaction, capital safety, and sex difference are the key word clustering results of institutional cooperation. At the level of national cooperation, internet addition, risk sexual behavior, covid-19 pandemic and suicidal idea have become the main keywords The results of keyword cluster analysis show that gender role attribute, psychological properties, dating policy, professional fulfillment, and entrepreneurial intention have become the main topics in the current research. The research frontier analysis reflects the importance of gender, women and health. The research on self-efficacy, diversity, image, life satisfaction and choice has become the trend of cross-cultural communication and gender issues. Furthermore, abundant achievement emerged in the subjects of Psychology, Education, Sociology, and Business economics. Geography, Language and Literature, Medicine, and Health industries also have been highly influential in recent years. Therefore, the conclusion suggests the studies of gender issues can be further deepened into more authors, areas, subject and other multiple cooperation sectors.","author":[{"dropping-particle":"","family":"Luo","given":"Chen","non-dropping-particle":"","parse-names":false,"suffix":""},{"dropping-particle":"","family":"Jiang","given":"Songyu","non-dropping-particle":"","parse-names":false,"suffix":""}],"container-title":"Heliyon","id":"ITEM-1","issued":{"date-parts":[["2023"]]},"page":"e16324","publisher":"Elsevier Ltd","title":"The knowledge map of gender equality in cross-cultural communication: A bibliometric approach","type":"article-journal","volume":"9"},"uris":["http://www.mendeley.com/documents/?uuid=fec4e204-9990-4a8b-8f64-ce2264ab05f7"]}],"mendeley":{"formattedCitation":"(Luo &amp; Jiang, 2023)","plainTextFormattedCitation":"(Luo &amp; Jiang, 2023)","previouslyFormattedCitation":"(Luo &amp; Jiang,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(Luo &amp; Jiang, 2023)</w:t>
      </w:r>
      <w:r w:rsidRPr="00B54ECC">
        <w:rPr>
          <w:rFonts w:ascii="Garamond" w:hAnsi="Garamond"/>
          <w:sz w:val="22"/>
        </w:rPr>
        <w:fldChar w:fldCharType="end"/>
      </w:r>
      <w:bookmarkEnd w:id="37"/>
      <w:r w:rsidRPr="00B54ECC">
        <w:rPr>
          <w:rFonts w:ascii="Garamond" w:hAnsi="Garamond"/>
          <w:sz w:val="22"/>
          <w:lang w:val="id-ID"/>
        </w:rPr>
        <w:t>. Previous research has emphasized efforts to help students gain a more holistic understanding of medicinal plants. More effective biology education should encompass an understanding of how humans interact with the natural environment</w:t>
      </w:r>
      <w:r w:rsidRPr="00B54ECC">
        <w:rPr>
          <w:rFonts w:ascii="Garamond" w:hAnsi="Garamond"/>
          <w:sz w:val="22"/>
        </w:rPr>
        <w:t xml:space="preserve"> </w:t>
      </w:r>
      <w:bookmarkStart w:id="38" w:name="_Hlk145846926"/>
      <w:r w:rsidRPr="00B54ECC">
        <w:rPr>
          <w:rFonts w:ascii="Garamond" w:hAnsi="Garamond"/>
          <w:sz w:val="22"/>
        </w:rPr>
        <w:fldChar w:fldCharType="begin" w:fldLock="1"/>
      </w:r>
      <w:r w:rsidRPr="00B54ECC">
        <w:rPr>
          <w:rFonts w:ascii="Garamond" w:hAnsi="Garamond"/>
          <w:sz w:val="22"/>
        </w:rPr>
        <w:instrText>ADDIN CSL_CITATION {"citationItems":[{"id":"ITEM-1","itemData":{"DOI":"10.1016/j.gloenvcha.2022.102606","ISSN":"09593780","abstract":"Environmental and nature conservation authorities are calling for a collective effort to break or reduce the current cycle of environmental degradation. Much of the response depends on scientific knowledge production based on thematically and geographically comprehensive datasets. Citizen science (CS) is a cost-effective support tool for scientific research that provides means for building large and comprehensive datasets and promoting public awareness and participation. One of the greatest challenges of CS is to engage citizens and retain participants in the project. Our work addresses this challenge by (1) defining the role that technological, cultural, and environmental dimensions play in the adoption of CS apps for coastal environment monitoring, and (2) providing base knowledge about the profile of the apps’ most likely users and the functional features they require to be successful. Collectivists and people who assume a green identity are the most likely users of these apps. Drivers of their use are the promotion of citizen empowerment, habit development, provision of facilitating conditions, and proof of environmental performance. The outcome of this study is a set of guidelines for project managers, app developers, and policymakers for citizens’ engagement and retention in CS coastal environment monitoring projects through their apps.","author":[{"dropping-particle":"","family":"Cardoso-Andrade","given":"Mariana","non-dropping-particle":"","parse-names":false,"suffix":""},{"dropping-particle":"","family":"Cruz-Jesus","given":"Frederico","non-dropping-particle":"","parse-names":false,"suffix":""},{"dropping-particle":"","family":"Souza Troncoso","given":"Jesus","non-dropping-particle":"","parse-names":false,"suffix":""},{"dropping-particle":"","family":"Queiroga","given":"Henrique","non-dropping-particle":"","parse-names":false,"suffix":""},{"dropping-particle":"","family":"M. S. Gonçalves","given":"Jorge","non-dropping-particle":"","parse-names":false,"suffix":""}],"container-title":"Global Environmental Change","id":"ITEM-1","issue":"September","issued":{"date-parts":[["2022"]]},"page":"102606","publisher":"Elsevier Ltd","title":"Understanding technological, cultural, and environmental motivators explaining the adoption of citizen science apps for coastal environment monitoring","type":"article-journal","volume":"77"},"uris":["http://www.mendeley.com/documents/?uuid=73573c20-d136-4e8b-9430-be7e3b4db5d8"]}],"mendeley":{"formattedCitation":"(Cardoso-Andrade et al., 2022)","plainTextFormattedCitation":"(Cardoso-Andrade et al., 2022)","previouslyFormattedCitation":"(Cardoso-Andrade et al., 2022)"},"properties":{"noteIndex":0},"schema":"https://github.com/citation-style-language/schema/raw/master/csl-citation.json"}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(Cardoso-Andrade et al., 2022)</w:t>
      </w:r>
      <w:r w:rsidRPr="00B54ECC">
        <w:rPr>
          <w:rFonts w:ascii="Garamond" w:hAnsi="Garamond"/>
          <w:sz w:val="22"/>
        </w:rPr>
        <w:fldChar w:fldCharType="end"/>
      </w:r>
      <w:r w:rsidRPr="00B54ECC">
        <w:rPr>
          <w:rFonts w:ascii="Garamond" w:hAnsi="Garamond"/>
          <w:sz w:val="22"/>
          <w:lang w:val="id-ID"/>
        </w:rPr>
        <w:t xml:space="preserve">, </w:t>
      </w:r>
      <w:bookmarkEnd w:id="38"/>
      <w:r w:rsidRPr="00B54ECC">
        <w:rPr>
          <w:rFonts w:ascii="Garamond" w:hAnsi="Garamond"/>
          <w:sz w:val="22"/>
          <w:lang w:val="id-ID"/>
        </w:rPr>
        <w:t>as well as how local culture and traditional knowledge influence our understanding and utilization of medicinal plants</w:t>
      </w:r>
      <w:r w:rsidRPr="00B54ECC">
        <w:rPr>
          <w:rFonts w:ascii="Garamond" w:hAnsi="Garamond"/>
          <w:sz w:val="22"/>
        </w:rPr>
        <w:t xml:space="preserve"> </w:t>
      </w:r>
      <w:bookmarkStart w:id="39" w:name="_Hlk145846886"/>
      <w:r w:rsidRPr="00B54ECC">
        <w:rPr>
          <w:rFonts w:ascii="Garamond" w:hAnsi="Garamond"/>
          <w:sz w:val="22"/>
        </w:rPr>
        <w:fldChar w:fldCharType="begin" w:fldLock="1"/>
      </w:r>
      <w:r w:rsidRPr="00B54ECC">
        <w:rPr>
          <w:rFonts w:ascii="Garamond" w:hAnsi="Garamond"/>
          <w:sz w:val="22"/>
        </w:rPr>
        <w:instrText>ADDIN CSL_CITATION {"citationItems":[{"id":"ITEM-1","itemData":{"DOI":"10.1016/j.pecon.2021.02.008","ISSN":"25300644","abstract":"Indigenous peoples and local communities (IPLC) manage over half of the world's landscapes, and this management involves landscape transformations associated with their sociocultures. Although anthropologists have shown that IPLC sociocultures influence management, and historical-ecological studies have shown that this management influences environments, how interactions between IPLC sociocultures and environments influence landscape transformations is less clear. Here we use a historical-ecological approach and a cultural niche construction perspective to present an IPLC landscape transformation framework that identifies and integrates sociocultural and environmental elements. Our framework shows that IPLC’ landscape transformations occur through cultural niche construction and are influenced by historical events. IPLC sociocultures influence ecological processes and patterns through interactions that create sociocultural and ecological inheritances. These inheritances involve IPLC worldviews and associated norms, practices and knowledge which influence ecological processes that, in turn, engender ecological patterns. On the other hand, ecological processes and patterns influence IPLC sociocultures as they are perceived and processed according to local worldviews, so generating sociocultural–environmental feedbacks. To exemplify our framework, we present cases of cultural niche construction by Amazonian IPLC that show how interactions between sociocultures and environments influence landscape transformations. We argue that understanding how IPLC sociocultures have interacted with environments can help scientists, conservation practitioners and policymakers to combine scientific knowledge production, biodiversity protection and IPLC’ well-being.","author":[{"dropping-particle":"","family":"Franco-Moraes","given":"Juliano","non-dropping-particle":"","parse-names":false,"suffix":""},{"dropping-particle":"","family":"Clement","given":"Charles Roland","non-dropping-particle":"","parse-names":false,"suffix":""},{"dropping-particle":"","family":"Cabral de Oliveira","given":"Joana","non-dropping-particle":"","parse-names":false,"suffix":""},{"dropping-particle":"de","family":"Oliveira","given":"Alexandre Adalardo","non-dropping-particle":"","parse-names":false,"suffix":""}],"container-title":"Perspectives in Ecology and Conservation","id":"ITEM-1","issue":"2","issued":{"date-parts":[["2021"]]},"page":"143-152","publisher":"Associa&amp;ccedil;&amp;atilde;o Brasileira de Ci&amp;ecirc;ncia Ecol&amp;oacute;gica e Conserva&amp;ccedil;&amp;atilde;o","title":"A framework for identifying and integrating sociocultural and environmental elements of indigenous peoples’ and local communities’ landscape transformations","type":"article-journal","volume":"19"},"uris":["http://www.mendeley.com/documents/?uuid=5806d924-3983-4986-89bc-97f5841d1e4e"]}],"mendeley":{"formattedCitation":"(Franco-Moraes et al., 2021)","plainTextFormattedCitation":"(Franco-Moraes et al., 2021)","previouslyFormattedCitation":"(Franco-Moraes et al., 2021)"},"properties":{"noteIndex":0},"schema":"https://github.com/citation-style-language/schema/raw/master/csl-citation.json"}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(Franco-Moraes et al., 2021)</w:t>
      </w:r>
      <w:r w:rsidRPr="00B54ECC">
        <w:rPr>
          <w:rFonts w:ascii="Garamond" w:hAnsi="Garamond"/>
          <w:sz w:val="22"/>
        </w:rPr>
        <w:fldChar w:fldCharType="end"/>
      </w:r>
      <w:r w:rsidRPr="00B54ECC">
        <w:rPr>
          <w:rFonts w:ascii="Garamond" w:hAnsi="Garamond"/>
          <w:sz w:val="22"/>
          <w:lang w:val="id-ID"/>
        </w:rPr>
        <w:t xml:space="preserve">. </w:t>
      </w:r>
      <w:bookmarkEnd w:id="39"/>
      <w:r w:rsidRPr="00B54ECC">
        <w:rPr>
          <w:rFonts w:ascii="Garamond" w:hAnsi="Garamond"/>
          <w:sz w:val="22"/>
          <w:lang w:val="id-ID"/>
        </w:rPr>
        <w:t>Through the integration of cultural aspects, environmental knowledge, and field experiences, students can develop a more holistic understanding of medicinal plants. Students can also perceive medicinal plants as part of a larger ecosystem, within the context of local culture, and with an understanding of their benefits to health and society.</w:t>
      </w:r>
    </w:p>
    <w:p w:rsidR="00A60AAA" w:rsidRPr="00B54ECC" w:rsidRDefault="00A60AAA" w:rsidP="00A60AAA">
      <w:pPr>
        <w:spacing w:before="280"/>
        <w:ind w:firstLine="0"/>
        <w:jc w:val="both"/>
        <w:rPr>
          <w:rFonts w:ascii="Garamond" w:hAnsi="Garamond"/>
          <w:sz w:val="22"/>
        </w:rPr>
      </w:pPr>
      <w:r w:rsidRPr="00B54ECC">
        <w:rPr>
          <w:rFonts w:ascii="Garamond" w:hAnsi="Garamond"/>
          <w:sz w:val="22"/>
          <w:lang w:val="id-ID"/>
        </w:rPr>
        <w:lastRenderedPageBreak/>
        <w:t xml:space="preserve">Currently, B2P2TO2T has undergone a transformation into the Functional Unit for Traditional Health Services in Tawangmangu (UPF Yankestrad Tawangmangu), which is part of the Dr. Sardjito General Hospital. Now, UPF serves a new role as a healthcare facility, with expertise in medicinal plants and traditional medicine </w:t>
      </w:r>
      <w:r w:rsidRPr="00B54ECC">
        <w:rPr>
          <w:rFonts w:ascii="Garamond" w:hAnsi="Garamond"/>
          <w:sz w:val="22"/>
          <w:lang w:val="id-ID"/>
        </w:rPr>
        <w:fldChar w:fldCharType="begin" w:fldLock="1"/>
      </w:r>
      <w:r w:rsidRPr="00B54ECC">
        <w:rPr>
          <w:rFonts w:ascii="Garamond" w:hAnsi="Garamond"/>
          <w:sz w:val="22"/>
          <w:lang w:val="id-ID"/>
        </w:rPr>
        <w:instrText>ADDIN CSL_CITATION {"citationItems":[{"id":"ITEM-1","itemData":{"URL":"https://wellness.sardjito.co.id/#:~:text=Unit Pelaksana Fungsional Pelayanan Kesehatan,Sardjito dengan branding Hortus Medicus.","accessed":{"date-parts":[["2023","9","17"]]},"author":[{"dropping-particle":"","family":"Sardjito","given":"RSUP Dr.","non-dropping-particle":"","parse-names":false,"suffix":""}],"container-title":"Wellness","id":"ITEM-1","issued":{"date-parts":[["2023"]]},"title":"UPF Pelayanan Kesehatan Tradisional","type":"webpage"},"uris":["http://www.mendeley.com/documents/?uuid=dd9f20cf-7e2e-42bb-8c6c-6cf83d824810"]}],"mendeley":{"formattedCitation":"(Sardjito, 2023)","plainTextFormattedCitation":"(Sardjito, 2023)","previouslyFormattedCitation":"(Sardjito, 2023)"},"properties":{"noteIndex":0},"schema":"https://github.com/citation-style-language/schema/raw/master/csl-citation.json"}</w:instrText>
      </w:r>
      <w:r w:rsidRPr="00B54ECC">
        <w:rPr>
          <w:rFonts w:ascii="Garamond" w:hAnsi="Garamond"/>
          <w:sz w:val="22"/>
          <w:lang w:val="id-ID"/>
        </w:rPr>
        <w:fldChar w:fldCharType="separate"/>
      </w:r>
      <w:r w:rsidRPr="00B54ECC">
        <w:rPr>
          <w:rFonts w:ascii="Garamond" w:hAnsi="Garamond"/>
          <w:noProof/>
          <w:sz w:val="22"/>
          <w:lang w:val="id-ID"/>
        </w:rPr>
        <w:t>(Sardjito, 2023)</w:t>
      </w:r>
      <w:r w:rsidRPr="00B54ECC">
        <w:rPr>
          <w:rFonts w:ascii="Garamond" w:hAnsi="Garamond"/>
          <w:sz w:val="22"/>
        </w:rPr>
        <w:fldChar w:fldCharType="end"/>
      </w:r>
      <w:r w:rsidRPr="00B54ECC">
        <w:rPr>
          <w:rFonts w:ascii="Garamond" w:hAnsi="Garamond"/>
          <w:sz w:val="22"/>
          <w:lang w:val="id-ID"/>
        </w:rPr>
        <w:t xml:space="preserve">. The main task of UPF Yankestrad Tawangmangu is closely related to the vision of Dr. Sardjito General Hospital, which aims to be a culturally superior hospital in service, education, and research </w:t>
      </w:r>
      <w:r w:rsidRPr="00B54ECC">
        <w:rPr>
          <w:rFonts w:ascii="Garamond" w:hAnsi="Garamond"/>
          <w:sz w:val="22"/>
          <w:lang w:val="id-ID"/>
        </w:rPr>
        <w:fldChar w:fldCharType="begin" w:fldLock="1"/>
      </w:r>
      <w:r w:rsidRPr="00B54ECC">
        <w:rPr>
          <w:rFonts w:ascii="Garamond" w:hAnsi="Garamond"/>
          <w:sz w:val="22"/>
          <w:lang w:val="id-ID"/>
        </w:rPr>
        <w:instrText>ADDIN CSL_CITATION {"citationItems":[{"id":"ITEM-1","itemData":{"URL":"https://wellness.sardjito.co.id/#:~:text=Unit Pelaksana Fungsional Pelayanan Kesehatan,Sardjito dengan branding Hortus Medicus.","accessed":{"date-parts":[["2023","9","17"]]},"author":[{"dropping-particle":"","family":"Sardjito","given":"RSUP Dr.","non-dropping-particle":"","parse-names":false,"suffix":""}],"container-title":"Wellness","id":"ITEM-1","issued":{"date-parts":[["2023"]]},"title":"UPF Pelayanan Kesehatan Tradisional","type":"webpage"},"uris":["http://www.mendeley.com/documents/?uuid=dd9f20cf-7e2e-42bb-8c6c-6cf83d824810"]}],"mendeley":{"formattedCitation":"(Sardjito, 2023)","plainTextFormattedCitation":"(Sardjito, 2023)","previouslyFormattedCitation":"(Sardjito, 2023)"},"properties":{"noteIndex":0},"schema":"https://github.com/citation-style-language/schema/raw/master/csl-citation.json"}</w:instrText>
      </w:r>
      <w:r w:rsidRPr="00B54ECC">
        <w:rPr>
          <w:rFonts w:ascii="Garamond" w:hAnsi="Garamond"/>
          <w:sz w:val="22"/>
          <w:lang w:val="id-ID"/>
        </w:rPr>
        <w:fldChar w:fldCharType="separate"/>
      </w:r>
      <w:r w:rsidRPr="00B54ECC">
        <w:rPr>
          <w:rFonts w:ascii="Garamond" w:hAnsi="Garamond"/>
          <w:noProof/>
          <w:sz w:val="22"/>
          <w:lang w:val="id-ID"/>
        </w:rPr>
        <w:t>(Sardjito, 2023)</w:t>
      </w:r>
      <w:r w:rsidRPr="00B54ECC">
        <w:rPr>
          <w:rFonts w:ascii="Garamond" w:hAnsi="Garamond"/>
          <w:sz w:val="22"/>
        </w:rPr>
        <w:fldChar w:fldCharType="end"/>
      </w:r>
      <w:r w:rsidRPr="00B54ECC">
        <w:rPr>
          <w:rFonts w:ascii="Garamond" w:hAnsi="Garamond"/>
          <w:sz w:val="22"/>
        </w:rPr>
        <w:t>.</w:t>
      </w:r>
    </w:p>
    <w:p w:rsidR="00A60AAA" w:rsidRPr="00B54ECC" w:rsidRDefault="00A60AAA" w:rsidP="00A60AAA">
      <w:pPr>
        <w:tabs>
          <w:tab w:val="num" w:pos="567"/>
        </w:tabs>
        <w:spacing w:before="280"/>
        <w:ind w:firstLine="0"/>
        <w:jc w:val="both"/>
        <w:rPr>
          <w:rFonts w:ascii="Garamond" w:hAnsi="Garamond"/>
          <w:b/>
          <w:sz w:val="22"/>
        </w:rPr>
      </w:pPr>
      <w:r w:rsidRPr="00B54ECC">
        <w:rPr>
          <w:rFonts w:ascii="Garamond" w:hAnsi="Garamond"/>
          <w:b/>
          <w:bCs/>
          <w:sz w:val="22"/>
          <w:lang w:val="id-ID"/>
        </w:rPr>
        <w:t>Threats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Threats refer to external conditions that can disrupt the smooth operation of an organization or company</w:t>
      </w:r>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{"citationItems":[{"id":"ITEM-1","itemData":{"DOI":"10.1016/j.lrp.2023.102304","ISSN":"18731872","abstract":"The origins of SWOT analysis have been enigmatic, until now. With archival research, interviews with experts and a review of the available literature, this paper reconstructs the original SOFT/SWOT approach, and draws potential implications. During a firm's planning process, all managers are asked to write down 8 to 10 key planning issues faced by their units. Each manager grades, with evidence, these issues as either safeguarding the Satisfactory; opening Opportunities; fixing Faults; or thwarting Threats: hence SOFT (which is later merely relabeled to Strengths, Weaknesses, Opportunities and Threats, or SWOT). Subgroups of managers have several dialogues about these issues with the instruction to include the needs and expectations of all the firm's stakeholders. Their developed resolutions or proposals become input for the executive planning committee to articulate corporate purpose(s) and strategies. SWOT's originator, Robert Franklin Stewart, emphasized the crucial role that creativity plays in the planning process. The SOFT/SWOT approach curbs mere top-down strategy making to the benefit of strategy alignment and implementation; Introducing digital means to parts of SWOT's original participative, long-range planning process, as suggested herein, could boost the effectiveness of organizational strategizing, communication and learning. Archival research into the deployment of SOFT/SWOT in practice is needed.","author":[{"dropping-particle":"","family":"Puyt","given":"Richard W.","non-dropping-particle":"","parse-names":false,"suffix":""},{"dropping-particle":"","family":"Lie","given":"Finn Birger","non-dropping-particle":"","parse-names":false,"suffix":""},{"dropping-particle":"","family":"Wilderom","given":"Celeste P.M.","non-dropping-particle":"","parse-names":false,"suffix":""}],"container-title":"Long Range Planning","id":"ITEM-1","issue":"3","issued":{"date-parts":[["2023"]]},"page":"102304","publisher":"Elsevier Ltd","title":"The origins of SWOT analysis","type":"article-journal","volume":"56"},"uris":["http://www.mendeley.com/documents/?uuid=06caad06-7498-4e33-9e25-89672126f1e4"]}],"mendeley":{"formattedCitation":"(Puyt et al., 2023)","plainTextFormattedCitation":"(Puyt et al., 2023)","previouslyFormattedCitation":"(Puyt et al., 2023)"},"properties":{"noteIndex":0},"schema":"https://github.com/citation-style-language/schema/raw/master/csl-citation.json"}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(Puyt et al., 2023)</w:t>
      </w:r>
      <w:r w:rsidRPr="00B54ECC">
        <w:rPr>
          <w:rFonts w:ascii="Garamond" w:hAnsi="Garamond"/>
          <w:sz w:val="22"/>
        </w:rPr>
        <w:fldChar w:fldCharType="end"/>
      </w:r>
      <w:r w:rsidRPr="00B54ECC">
        <w:rPr>
          <w:rFonts w:ascii="Garamond" w:hAnsi="Garamond"/>
          <w:sz w:val="22"/>
          <w:lang w:val="id-ID"/>
        </w:rPr>
        <w:t>. Threats encompass any unwanted occurrences that may arise during the learning process, leading to the failure of learning, the non-realization of biology learning objectives, and the absence of prospects for developing medicinal plant materials in schools.</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 xml:space="preserve">The results of interviews with Biology teachers (BT5 &amp; BT6) regarding threats indicate that: </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w:t>
      </w:r>
      <w:r w:rsidRPr="00B54ECC">
        <w:rPr>
          <w:rFonts w:ascii="Garamond" w:hAnsi="Garamond"/>
          <w:i/>
          <w:iCs/>
          <w:sz w:val="22"/>
          <w:lang w:val="id-ID"/>
        </w:rPr>
        <w:t>When members of the school community themselves do not pay enough attention to medicinal plants, the topic of medicinal plants in the biology curriculum may be perceived as unimportant or less relevant. This can reduce motivation to teach or learn about the topic. Biology subjects encompass the study of biodiversity, which is closely related to medicinal plants. Neglecting issues related to medicinal plants can lead to neglect of the importance of preserving biodiversity</w:t>
      </w:r>
      <w:r w:rsidRPr="00B54ECC">
        <w:rPr>
          <w:rFonts w:ascii="Garamond" w:hAnsi="Garamond"/>
          <w:sz w:val="22"/>
          <w:lang w:val="id-ID"/>
        </w:rPr>
        <w:t>." (BT5)</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w:t>
      </w:r>
      <w:r w:rsidRPr="00B54ECC">
        <w:rPr>
          <w:rFonts w:ascii="Garamond" w:hAnsi="Garamond"/>
          <w:i/>
          <w:iCs/>
          <w:sz w:val="22"/>
          <w:lang w:val="id-ID"/>
        </w:rPr>
        <w:t>Students who are less aware of medicinal plants tend to have minimal interest and motivation to learn about medicinal plants. They may not see the relevance or urgency of the topic in their daily lives. Lack of awareness can result in students having limited or inaccurate understanding of medicinal plant issues. They may have many misconceptions or stereotypes about medicinal plants</w:t>
      </w:r>
      <w:r w:rsidRPr="00B54ECC">
        <w:rPr>
          <w:rFonts w:ascii="Garamond" w:hAnsi="Garamond"/>
          <w:sz w:val="22"/>
          <w:lang w:val="id-ID"/>
        </w:rPr>
        <w:t>." (BT6)</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Overall, both statements by the teachers emphasize the importance of addressing indifference towards medicinal plants in biology education to motivate students, enhance their understanding of biodiversity, and increase their awareness of relevant environmental issues. The key takeaway from both teacher statements is that attention and awareness of medicinal plants are crucial in biology education. Both teachers and students need to recognize the connection between medicinal plants, biodiversity, and their roles within the ecosystem. The lack of awareness about medicinal plants also underscores the significance of broader environmental education, which can help students understand their roles in preserving the natural environment and biodiversity.</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The results of previous research indicate that indifference towards medicinal plants can reduce students' motivation in biology education</w:t>
      </w:r>
      <w:r w:rsidRPr="00B54ECC">
        <w:rPr>
          <w:rFonts w:ascii="Garamond" w:hAnsi="Garamond"/>
          <w:sz w:val="22"/>
        </w:rPr>
        <w:t xml:space="preserve"> </w:t>
      </w:r>
      <w:bookmarkStart w:id="40" w:name="_Hlk145847145"/>
      <w:r w:rsidRPr="00B54ECC">
        <w:rPr>
          <w:rFonts w:ascii="Garamond" w:hAnsi="Garamond"/>
          <w:sz w:val="22"/>
        </w:rPr>
        <w:fldChar w:fldCharType="begin" w:fldLock="1"/>
      </w:r>
      <w:r w:rsidRPr="00B54ECC">
        <w:rPr>
          <w:rFonts w:ascii="Garamond" w:hAnsi="Garamond"/>
          <w:sz w:val="22"/>
        </w:rPr>
        <w:instrText>ADDIN CSL_CITATION {"citationItems":[{"id":"ITEM-1","itemData":{"DOI":"10.1016/j.biopha.2021.112182","ISSN":"19506007","PMID":"34649338","abstract":"Nigella sativa L. is one of the most extensively used traditional medicinal plants. This widely studied plant is known to display diverse pharmacological actions, including antimicrobial activities. Current literature has documented its multi-target mode of antimicrobial actions. N. sativa or its bioactive compounds, such as thymoquinone, can induce oxidative stress, cell apoptosis (by producing reactive oxygen species), increase membrane permeability, inhibit efflux pumps, and impose strong biocidal actions. Despite its well-documented antimicrobial efficacy in the experimental model, to the best of our knowledge its antimicrobial mechanisms highlighting the multi-targeting properties have yet to be well discussed. Is N. sativa or thymoquinone a valuable lead compound for therapeutic development for infectious diseases? Are N. sativa's bioactive compounds potential antimicrobial agents or able to overcome antimicrobial resistance? This review aims to discuss the antimicrobial pharmacology of N. sativa-based treatments. Additionally, it provides a holistic overview of the ethnobotany, ethnopharmacology, and phytochemistry of N. sativa.","author":[{"dropping-particle":"","family":"Hossain","given":"Md Sanower","non-dropping-particle":"","parse-names":false,"suffix":""},{"dropping-particle":"","family":"Sharfaraz","given":"Ashik","non-dropping-particle":"","parse-names":false,"suffix":""},{"dropping-particle":"","family":"Dutta","given":"Amit","non-dropping-particle":"","parse-names":false,"suffix":""},{"dropping-particle":"","family":"Ahsan","given":"Asif","non-dropping-particle":"","parse-names":false,"suffix":""},{"dropping-particle":"","family":"Masud","given":"Md Anwarul","non-dropping-particle":"","parse-names":false,"suffix":""},{"dropping-particle":"","family":"Ahmed","given":"Idris Adewale","non-dropping-particle":"","parse-names":false,"suffix":""},{"dropping-particle":"","family":"Goh","given":"Bey Hing","non-dropping-particle":"","parse-names":false,"suffix":""},{"dropping-particle":"","family":"Urbi","given":"Zannat","non-dropping-particle":"","parse-names":false,"suffix":""},{"dropping-particle":"","family":"Sarker","given":"Md Moklesur Rahman","non-dropping-particle":"","parse-names":false,"suffix":""},{"dropping-particle":"","family":"Ming","given":"Long Chiau","non-dropping-particle":"","parse-names":false,"suffix":""}],"container-title":"Biomedicine and Pharmacotherapy","id":"ITEM-1","issued":{"date-parts":[["2021"]]},"page":"112182","publisher":"Elsevier Masson SAS","title":"A review of ethnobotany, phytochemistry, antimicrobial pharmacology and toxicology of Nigella sativa L.","type":"article-journal","volume":"143"},"uris":["http://www.mendeley.com/documents/?uuid=343ed475-78b0-463f-ab54-370588c1a48e"]},{"id":"ITEM-2","itemData":{"DOI":"10.5688/ajpe6100","ISSN":"15536467","PMID":"29367772","abstract":"Objective. To create and implement a class in ethnopharmacology that would educate student pharmacists on folk medicine, including home remedies and native plants that are used as alternative medicinal sources; active components of medicinal plants including toxicity issues and the mechanism of action of beneficial compounds, such as catechins and other flavonoids; and nutraceuticals and poisonous plants. Methods. In this three-credit hour class, herbal remedies are investigated from the standpoints of medical efficacy, potential toxicities and drug interactions with prescribed medications. Class discussions are conducted on the usefulness of remedies, the attitudes of practitioners toward traditional remedy use and the risks of relying on herbal preparations. Each student prepares a 15-minute presentation on a disease state, which covers modern pharmaceuticals and herbal or folk remedy alternatives used in that disease. Special emphasis is given to drug-herb interactions. Results. The class has gained popularity among students and consistently fills within the first hour of computerized registration. Students agree that being educated in the benefits and potential toxicities of herbal products will better prepare them to counsel their patients who use these remedies. The elective has been offered 10 times since 2007. Anecdotal comments from our alumni indicate that they have found the information to be very useful in their practice environments. Conclusion. Providing our students with a greater understanding of herbal remedies is essential to prepare them for practice. By including both the uses and potential toxicities, the student pharmacist is able to counsel her patients from a standpoint of expertise on these self-administered remedies.","author":[{"dropping-particle":"","family":"Linger","given":"Rebecca S.","non-dropping-particle":"","parse-names":false,"suffix":""}],"container-title":"American Journal of Pharmaceutical Education","id":"ITEM-2","issue":"10","issued":{"date-parts":[["2017"]]},"page":"47-55","publisher":"Elsevier Masson SAS","title":"Design and implementation of an elective on the ethnopharmacology of appalachia for the PharmD curriculum","type":"article-journal","volume":"81"},"uris":["http://www.mendeley.com/documents/?uuid=dd4dc2fa-00ae-42d0-904a-97352d19a583"]},{"id":"ITEM-3","itemData":{"DOI":"10.1016/j.jep.2014.08.005","ISSN":"18727573","PMID":"25153021","abstract":"Ethnopharmacological relevance Rich accessibility of medicinal plants in the study area provides low cost health care for respiratory disorders to local communities. This first report survey was commenced with an aim to document ethnic knowledge regarding the use of folk herbal medicine for respiratory diseases among the local communities of Gallies Abbottabad, Northern Pakistan using quantitative ethnobotanical approaches.\nMethod Field survey was carried out over the period of 2 years i.e., March 2012-March 2014 in study area. The ethnomedicinal data was collected through interviews among the local communities. Documented data was evaluated using use value (UV) and Relative Frequency Citation (RFC).\nResults A total of 120 species of plants belonging to 90 genera of 51 families were reported to be used ethnomedicinally for the treatment of 25 different respiratory disorders. Leaves were the most commonly used plant parts and most of the herbal medicines were prepared in the form of decoctions and administered orally. The most significant species according to their use value were Solanum virginianum (5.00), Althea officinalis (3.00), Inula obtusifolia (3.00), Saxifraga hirculus (3.00) and Sisymbrium erysimoides (3.00).\nConclusion This study reported traditional herbal medicines for the first time to be used against respiratory disorders in the Gallies, Northern Pakistan are still in common practice by the local communities. Some of the new ethnobotanical claims documented in this investigation should need to be further explore clinically. The medicinal plants with highest use values recorded in this study may signpost the probable existence of valuable phytochemical compounds that requires a search for prospective new drugs to cure many respiratory disorders.","author":[{"dropping-particle":"","family":"Kayani","given":"Sadaf","non-dropping-particle":"","parse-names":false,"suffix":""},{"dropping-particle":"","family":"Ahmad","given":"Mushtaq","non-dropping-particle":"","parse-names":false,"suffix":""},{"dropping-particle":"","family":"Zafar","given":"Muhammad","non-dropping-particle":"","parse-names":false,"suffix":""},{"dropping-particle":"","family":"Sultana","given":"Shazia","non-dropping-particle":"","parse-names":false,"suffix":""},{"dropping-particle":"","family":"Khan","given":"Muhammad Pukhtoon Zada","non-dropping-particle":"","parse-names":false,"suffix":""},{"dropping-particle":"","family":"Ashraf","given":"Muhammad Aqeel","non-dropping-particle":"","parse-names":false,"suffix":""},{"dropping-particle":"","family":"Hussain","given":"Javid","non-dropping-particle":"","parse-names":false,"suffix":""},{"dropping-particle":"","family":"Yaseen","given":"Ghulam","non-dropping-particle":"","parse-names":false,"suffix":""}],"container-title":"Journal of Ethnopharmacology","id":"ITEM-3","issued":{"date-parts":[["2014"]]},"page":"47-60","publisher":"Elsevier","title":"Ethnobotanical uses of medicinal plants for respiratory disorders among the inhabitants of Gallies - Abbottabad, Northern Pakistan","type":"article-journal","volume":"156"},"uris":["http://www.mendeley.com/documents/?uuid=360ac4a6-fca9-4b04-a24a-1916679f3875"]}],"mendeley":{"formattedCitation":"(Hossain et al., 2021; Kayani et al., 2014; Linger, 2017)","plainTextFormattedCitation":"(Hossain et al., 2021; Kayani et al., 2014; Linger, 2017)","previouslyFormattedCitation":"(Hossain et al., 2021; Kayani et al., 2014; Linger,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(Hossain et al., 2021; Kayani et al., 2014; Linger, 2017)</w:t>
      </w:r>
      <w:r w:rsidRPr="00B54ECC">
        <w:rPr>
          <w:rFonts w:ascii="Garamond" w:hAnsi="Garamond"/>
          <w:sz w:val="22"/>
        </w:rPr>
        <w:fldChar w:fldCharType="end"/>
      </w:r>
      <w:r w:rsidRPr="00B54ECC">
        <w:rPr>
          <w:rFonts w:ascii="Garamond" w:hAnsi="Garamond"/>
          <w:sz w:val="22"/>
          <w:lang w:val="id-ID"/>
        </w:rPr>
        <w:t>.</w:t>
      </w:r>
      <w:bookmarkEnd w:id="40"/>
      <w:r w:rsidRPr="00B54ECC">
        <w:rPr>
          <w:rFonts w:ascii="Garamond" w:hAnsi="Garamond"/>
          <w:sz w:val="22"/>
          <w:lang w:val="id-ID"/>
        </w:rPr>
        <w:t xml:space="preserve"> However, when the material on medicinal plants is taught in an engaging, relevant, and practical manner, students tend to be more motivated to learn</w:t>
      </w:r>
      <w:bookmarkStart w:id="41" w:name="_Hlk145847137"/>
      <w:r w:rsidRPr="00B54ECC">
        <w:rPr>
          <w:rFonts w:ascii="Garamond" w:hAnsi="Garamond"/>
          <w:sz w:val="22"/>
        </w:rPr>
        <w:t xml:space="preserve"> </w:t>
      </w:r>
      <w:r w:rsidRPr="00B54ECC">
        <w:rPr>
          <w:rFonts w:ascii="Garamond" w:hAnsi="Garamond"/>
          <w:sz w:val="22"/>
        </w:rPr>
        <w:fldChar w:fldCharType="begin" w:fldLock="1"/>
      </w:r>
      <w:r w:rsidRPr="00B54ECC">
        <w:rPr>
          <w:rFonts w:ascii="Garamond" w:hAnsi="Garamond"/>
          <w:sz w:val="22"/>
        </w:rPr>
        <w:instrText>ADDIN CSL_CITATION {"citationItems":[{"id":"ITEM-1","itemData":{"DOI":"10.18203/2319-2003.ijbcp20190566","ISSN":"2319-2003","abstract":"Background: In this survey, it was aimed to determine the types of medicinal herbs and herbal products, reasons of use and consciousness levels among the medical students in the first three years of the School of Medicine.Methods: A cross-sectional descriptive questionnaire consisting of 50 questions was applied to all the students in the first three years of Dokuz Eylül University School of Medicine between September 1, 2016 and June 1, 2017.Results: The results of 571 participating students were evaluated. Of these students, 301 (52.7%) were females and 270 (47.3%) were males. It was found that 73.4% (n=419) of the students used these products for treatment and mostly consumed linden, sage tea, mint and rosehip. Also, 11.6% of the students had chronic diseases (n=66). It was determined that 69.7% (n=46) of these students having chronic diseases used medicinal herbs and herbal products. Only 12.0% of the students had an opinion about the legal regulations regarding the use of herbs and herbal products in Turkey, while 39.7% of them had no idea, and 48.3% stated that such regulations on this matter were unreasonable. However, 59.7% of the respondents stated that legal regulations were necessary. It was found that the participating students used herbs and herbal products generally for therapeutic purposes without having sufficient knowledge about medicinal herbs; therefore it was necessary to increase their level of consciousness.Conclusions: Medical students neither have adequate medical information about medicinal herbs and herbal products, nor about the regulations on these products. It is crucial to revise the courses in the medical education so that the students would get informed about the regulations as well as potential risks of herbal plants while still in the medical schools.","author":[{"dropping-particle":"","family":"Guven","given":"Hulya","non-dropping-particle":"","parse-names":false,"suffix":""},{"dropping-particle":"","family":"Kalkan","given":"Sule","non-dropping-particle":"","parse-names":false,"suffix":""},{"dropping-particle":"","family":"Hocaoglu","given":"Nil","non-dropping-particle":"","parse-names":false,"suffix":""},{"dropping-particle":"","family":"Yildiztepe","given":"Engin","non-dropping-particle":"","parse-names":false,"suffix":""},{"dropping-particle":"","family":"Gokalp","given":"Gamze","non-dropping-particle":"","parse-names":false,"suffix":""}],"container-title":"International Journal of Basic &amp; Clinical Pharmacology","id":"ITEM-1","issue":"3","issued":{"date-parts":[["2019"]]},"page":"394","title":"Evaluation of the knowledge level and usage attitudes of the medical students on the medicinal herbs and herbal products: a project of special study module in the first three years of the school of medicine","type":"article-journal","volume":"8"},"uris":["http://www.mendeley.com/documents/?uuid=9ef39064-6c29-4997-b231-a411de4b5423"]}],"mendeley":{"formattedCitation":"(Guven et al., 2019)","plainTextFormattedCitation":"(Guven et al., 2019)","previouslyFormattedCitation":"(Guven et al., 2019)"},"properties":{"noteIndex":0},"schema":"https://github.com/citation-style-language/schema/raw/master/csl-citation.json"}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(Guven et al., 2019)</w:t>
      </w:r>
      <w:r w:rsidRPr="00B54ECC">
        <w:rPr>
          <w:rFonts w:ascii="Garamond" w:hAnsi="Garamond"/>
          <w:sz w:val="22"/>
        </w:rPr>
        <w:fldChar w:fldCharType="end"/>
      </w:r>
      <w:r w:rsidRPr="00B54ECC">
        <w:rPr>
          <w:rFonts w:ascii="Garamond" w:hAnsi="Garamond"/>
          <w:sz w:val="22"/>
          <w:lang w:val="id-ID"/>
        </w:rPr>
        <w:t xml:space="preserve">. </w:t>
      </w:r>
      <w:bookmarkEnd w:id="41"/>
      <w:r w:rsidRPr="00B54ECC">
        <w:rPr>
          <w:rFonts w:ascii="Garamond" w:hAnsi="Garamond"/>
          <w:sz w:val="22"/>
          <w:lang w:val="id-ID"/>
        </w:rPr>
        <w:t>Students see the importance of this topic in their daily lives, which stimulates interest and active participation in learning.</w:t>
      </w:r>
    </w:p>
    <w:p w:rsidR="00A60AAA" w:rsidRPr="00B54ECC" w:rsidRDefault="00A60AAA" w:rsidP="00A60AAA">
      <w:pPr>
        <w:spacing w:before="280"/>
        <w:ind w:firstLine="0"/>
        <w:jc w:val="both"/>
        <w:rPr>
          <w:rFonts w:ascii="Garamond" w:hAnsi="Garamond"/>
          <w:sz w:val="22"/>
          <w:lang w:val="id-ID"/>
        </w:rPr>
      </w:pPr>
      <w:r w:rsidRPr="00B54ECC">
        <w:rPr>
          <w:rFonts w:ascii="Garamond" w:hAnsi="Garamond"/>
          <w:sz w:val="22"/>
          <w:lang w:val="id-ID"/>
        </w:rPr>
        <w:t>Medicinal plants are a crucial part of biodiversity, and as students begin to understand the roles and diversity of medicinal plants in ecosystems</w:t>
      </w:r>
      <w:r w:rsidRPr="00B54ECC">
        <w:rPr>
          <w:rFonts w:ascii="Garamond" w:hAnsi="Garamond"/>
          <w:sz w:val="22"/>
        </w:rPr>
        <w:t xml:space="preserve"> </w:t>
      </w:r>
      <w:bookmarkStart w:id="42" w:name="_Hlk145847215"/>
      <w:r w:rsidRPr="00B54ECC">
        <w:rPr>
          <w:rFonts w:ascii="Garamond" w:hAnsi="Garamond"/>
          <w:sz w:val="22"/>
        </w:rPr>
        <w:fldChar w:fldCharType="begin" w:fldLock="1"/>
      </w:r>
      <w:r w:rsidRPr="00B54ECC">
        <w:rPr>
          <w:rFonts w:ascii="Garamond" w:hAnsi="Garamond"/>
          <w:sz w:val="22"/>
        </w:rPr>
        <w:instrText>ADDIN CSL_CITATION {"citationItems":[{"id":"ITEM-1","itemData":{"author":[{"dropping-particle":"","family":"Jantan","given":"I.","non-dropping-particle":"","parse-names":false,"suffix":""}],"container-title":"Proceedings of the Seminar- Medicinal Plants: Cure for the 21 Century","id":"ITEM-1","issued":{"date-parts":[["1998"]]},"page":"20-24","publisher":"Universiti Putra Malaysia","publisher-place":"Serdang, Malaysia","title":"The real value of medicinal plants in traditional health care","type":"paper-conference"},"uris":["http://www.mendeley.com/documents/?uuid=a81a3eeb-43e8-4c16-be1b-3d297f2b3c7d"]}],"mendeley":{"formattedCitation":"(Jantan, 1998)","plainTextFormattedCitation":"(Jantan, 1998)","previouslyFormattedCitation":"(Jantan, 1998)"},"properties":{"noteIndex":0},"schema":"https://github.com/citation-style-language/schema/raw/master/csl-citation.json"}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(Jantan, 1998)</w:t>
      </w:r>
      <w:r w:rsidRPr="00B54ECC">
        <w:rPr>
          <w:rFonts w:ascii="Garamond" w:hAnsi="Garamond"/>
          <w:sz w:val="22"/>
        </w:rPr>
        <w:fldChar w:fldCharType="end"/>
      </w:r>
      <w:r w:rsidRPr="00B54ECC">
        <w:rPr>
          <w:rFonts w:ascii="Garamond" w:hAnsi="Garamond"/>
          <w:sz w:val="22"/>
          <w:lang w:val="id-ID"/>
        </w:rPr>
        <w:t xml:space="preserve">, </w:t>
      </w:r>
      <w:bookmarkEnd w:id="42"/>
      <w:r w:rsidRPr="00B54ECC">
        <w:rPr>
          <w:rFonts w:ascii="Garamond" w:hAnsi="Garamond"/>
          <w:sz w:val="22"/>
          <w:lang w:val="id-ID"/>
        </w:rPr>
        <w:t>they also gain a deeper understanding of biodiversity as a whole</w:t>
      </w:r>
      <w:r w:rsidRPr="00B54ECC">
        <w:rPr>
          <w:rFonts w:ascii="Garamond" w:hAnsi="Garamond"/>
          <w:sz w:val="22"/>
        </w:rPr>
        <w:t xml:space="preserve"> </w:t>
      </w:r>
      <w:bookmarkStart w:id="43" w:name="_Hlk145847179"/>
      <w:r w:rsidRPr="00B54ECC">
        <w:rPr>
          <w:rFonts w:ascii="Garamond" w:hAnsi="Garamond"/>
          <w:sz w:val="22"/>
        </w:rPr>
        <w:fldChar w:fldCharType="begin" w:fldLock="1"/>
      </w:r>
      <w:r w:rsidRPr="00B54ECC">
        <w:rPr>
          <w:rFonts w:ascii="Garamond" w:hAnsi="Garamond"/>
          <w:sz w:val="22"/>
        </w:rPr>
        <w:instrText>ADDIN CSL_CITATION {"citationItems":[{"id":"ITEM-1","itemData":{"DOI":"10.5688/ajpe6100","ISSN":"15536467","PMID":"29367772","abstract":"Objective. To create and implement a class in ethnopharmacology that would educate student pharmacists on folk medicine, including home remedies and native plants that are used as alternative medicinal sources; active components of medicinal plants including toxicity issues and the mechanism of action of beneficial compounds, such as catechins and other flavonoids; and nutraceuticals and poisonous plants. Methods. In this three-credit hour class, herbal remedies are investigated from the standpoints of medical efficacy, potential toxicities and drug interactions with prescribed medications. Class discussions are conducted on the usefulness of remedies, the attitudes of practitioners toward traditional remedy use and the risks of relying on herbal preparations. Each student prepares a 15-minute presentation on a disease state, which covers modern pharmaceuticals and herbal or folk remedy alternatives used in that disease. Special emphasis is given to drug-herb interactions. Results. The class has gained popularity among students and consistently fills within the first hour of computerized registration. Students agree that being educated in the benefits and potential toxicities of herbal products will better prepare them to counsel their patients who use these remedies. The elective has been offered 10 times since 2007. Anecdotal comments from our alumni indicate that they have found the information to be very useful in their practice environments. Conclusion. Providing our students with a greater understanding of herbal remedies is essential to prepare them for practice. By including both the uses and potential toxicities, the student pharmacist is able to counsel her patients from a standpoint of expertise on these self-administered remedies.","author":[{"dropping-particle":"","family":"Linger","given":"Rebecca S.","non-dropping-particle":"","parse-names":false,"suffix":""}],"container-title":"American Journal of Pharmaceutical Education","id":"ITEM-1","issue":"10","issued":{"date-parts":[["2017"]]},"page":"47-55","publisher":"Elsevier Masson SAS","title":"Design and implementation of an elective on the ethnopharmacology of appalachia for the PharmD curriculum","type":"article-journal","volume":"81"},"uris":["http://www.mendeley.com/documents/?uuid=dd4dc2fa-00ae-42d0-904a-97352d19a583"]}],"mendeley":{"formattedCitation":"(Linger, 2017)","plainTextFormattedCitation":"(Linger, 2017)","previouslyFormattedCitation":"(Linger, 2017)"},"properties":{"noteIndex":0},"schema":"https://github.com/citation-style-language/schema/raw/master/csl-citation.json"}</w:instrText>
      </w:r>
      <w:r w:rsidRPr="00B54ECC">
        <w:rPr>
          <w:rFonts w:ascii="Garamond" w:hAnsi="Garamond"/>
          <w:sz w:val="22"/>
        </w:rPr>
        <w:fldChar w:fldCharType="separate"/>
      </w:r>
      <w:r w:rsidRPr="00B54ECC">
        <w:rPr>
          <w:rFonts w:ascii="Garamond" w:hAnsi="Garamond"/>
          <w:noProof/>
          <w:sz w:val="22"/>
        </w:rPr>
        <w:t>(Linger, 2017)</w:t>
      </w:r>
      <w:r w:rsidRPr="00B54ECC">
        <w:rPr>
          <w:rFonts w:ascii="Garamond" w:hAnsi="Garamond"/>
          <w:sz w:val="22"/>
        </w:rPr>
        <w:fldChar w:fldCharType="end"/>
      </w:r>
      <w:r w:rsidRPr="00B54ECC">
        <w:rPr>
          <w:rFonts w:ascii="Garamond" w:hAnsi="Garamond"/>
          <w:sz w:val="22"/>
          <w:lang w:val="id-ID"/>
        </w:rPr>
        <w:t xml:space="preserve">. </w:t>
      </w:r>
      <w:bookmarkEnd w:id="43"/>
      <w:r w:rsidRPr="00B54ECC">
        <w:rPr>
          <w:rFonts w:ascii="Garamond" w:hAnsi="Garamond"/>
          <w:sz w:val="22"/>
          <w:lang w:val="id-ID"/>
        </w:rPr>
        <w:t>Learning about medicinal plants also allows students to become more aware of relevant environmental issues. They learn how excessive use or unsustainable harvesting of medicinal plants can have negative impacts on ecosystems and the balance of nature. Learning about medicinal plants also helps students connect biological science with their everyday lives.</w:t>
      </w:r>
    </w:p>
    <w:p w:rsidR="00A60AAA" w:rsidRPr="00B54ECC" w:rsidRDefault="00A60AAA" w:rsidP="00A60AAA">
      <w:pPr>
        <w:spacing w:before="280"/>
        <w:ind w:firstLine="0"/>
        <w:jc w:val="both"/>
        <w:rPr>
          <w:rFonts w:ascii="Garamond" w:hAnsi="Garamond"/>
          <w:sz w:val="22"/>
        </w:rPr>
      </w:pPr>
      <w:r w:rsidRPr="00B54ECC">
        <w:rPr>
          <w:rFonts w:ascii="Garamond" w:hAnsi="Garamond"/>
          <w:sz w:val="22"/>
          <w:lang w:val="id-ID"/>
        </w:rPr>
        <w:t xml:space="preserve">Previous research underscores the importance of a relevant, practical, and engaging approach to biology education. By addressing initial indifference towards medicinal plants, educators can motivate students, enhance their understanding of biodiversity, and help them become more aware of pressing </w:t>
      </w:r>
      <w:r w:rsidRPr="00B54ECC">
        <w:rPr>
          <w:rFonts w:ascii="Garamond" w:hAnsi="Garamond"/>
          <w:sz w:val="22"/>
          <w:lang w:val="id-ID"/>
        </w:rPr>
        <w:lastRenderedPageBreak/>
        <w:t>environmental issues. Therefore, a relevant, practical, and engaging approach to biology education can make a positive contribution to environmental education and provide a more holistic understanding of humanity's role in nature.</w:t>
      </w:r>
    </w:p>
    <w:p w:rsidR="00A60AAA" w:rsidRPr="00B54ECC" w:rsidRDefault="00A60AAA" w:rsidP="00A60AAA">
      <w:pPr>
        <w:spacing w:before="280"/>
        <w:ind w:firstLine="0"/>
        <w:jc w:val="both"/>
        <w:rPr>
          <w:rFonts w:ascii="Garamond" w:hAnsi="Garamond"/>
          <w:b/>
          <w:bCs/>
          <w:sz w:val="22"/>
          <w:lang w:val="id-ID"/>
        </w:rPr>
      </w:pPr>
      <w:r w:rsidRPr="00B54ECC">
        <w:rPr>
          <w:rFonts w:ascii="Garamond" w:hAnsi="Garamond"/>
          <w:b/>
          <w:bCs/>
          <w:sz w:val="22"/>
          <w:lang w:val="id-ID"/>
        </w:rPr>
        <w:t>CONCLUSION</w:t>
      </w:r>
    </w:p>
    <w:p w:rsidR="00A60AAA" w:rsidRPr="00B54ECC" w:rsidRDefault="00A60AAA" w:rsidP="00A60AAA">
      <w:pPr>
        <w:spacing w:before="280"/>
        <w:ind w:firstLine="0"/>
        <w:jc w:val="both"/>
        <w:rPr>
          <w:rFonts w:ascii="Garamond" w:hAnsi="Garamond"/>
          <w:sz w:val="22"/>
        </w:rPr>
      </w:pPr>
      <w:r w:rsidRPr="00B54ECC">
        <w:rPr>
          <w:rFonts w:ascii="Garamond" w:hAnsi="Garamond"/>
          <w:sz w:val="22"/>
          <w:lang w:val="id-ID"/>
        </w:rPr>
        <w:t>An evaluation study of the implementation of biology education that integrates medicinal plant materials in an effort to harness local potential is a crucial step in understanding the impact and challenges of this approach in an educational context. Through SWOT analysis, the following conclusions can be drawn: Strengths: (1) Integration of medicinal plant materials aligns with the goals of the biology curriculum. (2) Biology teachers possess the competence and experience to support the implementation of medicinal plant materials. (3) Student interest and engagement in biology learning have increased. Weaknesses: (1) Limited resources such as textbooks and laboratory equipment. (2) Resistance from biology teachers towards additional materials. (3) Integration of medicinal plant materials adds to the density of the curriculum. Opportunities: (1) Integration of medicinal plant materials can enhance students' understanding of the relationship between medicinal plants, biodiversity, and the local environment. (2) Engagement with the local community can be enhanced in the learning process. (3) Development of specialized educational resources on medicinal plants can enrich the learning experience. Threats: (1) Cultural differences or societal perspectives can pose a threat to the integration of medicinal plant materials. (2) Time constraints within the biology curriculum could be a threat. (3) Evaluating students' understanding of medicinal plant materials may be challenging. Further research can focus on the development of more specialized educational resources on medicinal plant materials, including modules, textbooks, and educational software that can be utilized by both teachers and students. Additional studies can also explore effective strategies for involving the local community in learning about medicinal plants, possibly through collaboration with local experts or field visits to the local areas</w:t>
      </w:r>
      <w:r w:rsidRPr="00B54ECC">
        <w:rPr>
          <w:rFonts w:ascii="Garamond" w:hAnsi="Garamond"/>
          <w:sz w:val="22"/>
        </w:rPr>
        <w:t>.</w:t>
      </w:r>
    </w:p>
    <w:p w:rsidR="00A60AAA" w:rsidRPr="00B54ECC" w:rsidRDefault="00A60AAA" w:rsidP="00A60AAA">
      <w:pPr>
        <w:spacing w:before="280"/>
        <w:ind w:firstLine="0"/>
        <w:jc w:val="both"/>
        <w:rPr>
          <w:rFonts w:ascii="Garamond" w:hAnsi="Garamond"/>
          <w:b/>
          <w:sz w:val="22"/>
        </w:rPr>
      </w:pPr>
      <w:r w:rsidRPr="00B54ECC">
        <w:rPr>
          <w:rFonts w:ascii="Garamond" w:hAnsi="Garamond"/>
          <w:b/>
          <w:sz w:val="22"/>
        </w:rPr>
        <w:t>REFERENCES</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sz w:val="22"/>
        </w:rPr>
        <w:fldChar w:fldCharType="begin" w:fldLock="1"/>
      </w:r>
      <w:r w:rsidRPr="00B54ECC">
        <w:rPr>
          <w:rFonts w:ascii="Garamond" w:hAnsi="Garamond"/>
          <w:sz w:val="22"/>
        </w:rPr>
        <w:instrText xml:space="preserve">ADDIN Mendeley Bibliography CSL_BIBLIOGRAPHY </w:instrText>
      </w:r>
      <w:r w:rsidRPr="00B54ECC">
        <w:rPr>
          <w:rFonts w:ascii="Garamond" w:hAnsi="Garamond"/>
          <w:sz w:val="22"/>
        </w:rPr>
        <w:fldChar w:fldCharType="separate"/>
      </w:r>
      <w:r w:rsidRPr="00B54ECC">
        <w:rPr>
          <w:rFonts w:ascii="Garamond" w:hAnsi="Garamond"/>
          <w:noProof/>
          <w:sz w:val="22"/>
          <w:szCs w:val="24"/>
        </w:rPr>
        <w:t xml:space="preserve">Abrori, F. M. (2021). Ketika Komikus Bertemu Etnobotanis: Cross-Project Pengembangan Komik Etnobiologi. </w:t>
      </w:r>
      <w:r w:rsidRPr="00B54ECC">
        <w:rPr>
          <w:rFonts w:ascii="Garamond" w:hAnsi="Garamond"/>
          <w:i/>
          <w:iCs/>
          <w:noProof/>
          <w:sz w:val="22"/>
          <w:szCs w:val="24"/>
        </w:rPr>
        <w:t>Seminar Nasional Perhimpunan Masyarakat Etnobiologi Indonesia</w:t>
      </w:r>
      <w:r w:rsidRPr="00B54ECC">
        <w:rPr>
          <w:rFonts w:ascii="Garamond" w:hAnsi="Garamond"/>
          <w:noProof/>
          <w:sz w:val="22"/>
          <w:szCs w:val="24"/>
        </w:rPr>
        <w:t>, 71–77. http://jte.pmei.or.id/index.php/jte/article/view/125</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Affandy, H., Aminah, N. S., &amp; Supriyanto, A. (2019). The correlation of character education with critical thinking skills as an important attribute to success in the 21 </w:t>
      </w:r>
      <w:r w:rsidRPr="00B54ECC">
        <w:rPr>
          <w:rFonts w:ascii="Garamond" w:hAnsi="Garamond"/>
          <w:noProof/>
          <w:sz w:val="22"/>
          <w:szCs w:val="24"/>
          <w:vertAlign w:val="superscript"/>
        </w:rPr>
        <w:t>st</w:t>
      </w:r>
      <w:r w:rsidRPr="00B54ECC">
        <w:rPr>
          <w:rFonts w:ascii="Garamond" w:hAnsi="Garamond"/>
          <w:noProof/>
          <w:sz w:val="22"/>
          <w:szCs w:val="24"/>
        </w:rPr>
        <w:t xml:space="preserve"> century. </w:t>
      </w:r>
      <w:r w:rsidRPr="00B54ECC">
        <w:rPr>
          <w:rFonts w:ascii="Garamond" w:hAnsi="Garamond"/>
          <w:i/>
          <w:iCs/>
          <w:noProof/>
          <w:sz w:val="22"/>
          <w:szCs w:val="24"/>
        </w:rPr>
        <w:t>Journal of Physics: Conference Series</w:t>
      </w:r>
      <w:r w:rsidRPr="00B54ECC">
        <w:rPr>
          <w:rFonts w:ascii="Garamond" w:hAnsi="Garamond"/>
          <w:noProof/>
          <w:sz w:val="22"/>
          <w:szCs w:val="24"/>
        </w:rPr>
        <w:t xml:space="preserve">, </w:t>
      </w:r>
      <w:r w:rsidRPr="00B54ECC">
        <w:rPr>
          <w:rFonts w:ascii="Garamond" w:hAnsi="Garamond"/>
          <w:i/>
          <w:iCs/>
          <w:noProof/>
          <w:sz w:val="22"/>
          <w:szCs w:val="24"/>
        </w:rPr>
        <w:t>1153</w:t>
      </w:r>
      <w:r w:rsidRPr="00B54ECC">
        <w:rPr>
          <w:rFonts w:ascii="Garamond" w:hAnsi="Garamond"/>
          <w:noProof/>
          <w:sz w:val="22"/>
          <w:szCs w:val="24"/>
        </w:rPr>
        <w:t>(1). https://doi.org/10.1088/1742-6596/1153/1/012132</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Affandy, H., Sunarno, W., Suryana, R., &amp; Harjana. (2024a). Integrating creative pedagogy into problem-based learning: The effects on higher order thinking skills in science education. </w:t>
      </w:r>
      <w:r w:rsidRPr="00B54ECC">
        <w:rPr>
          <w:rFonts w:ascii="Garamond" w:hAnsi="Garamond"/>
          <w:i/>
          <w:iCs/>
          <w:noProof/>
          <w:sz w:val="22"/>
          <w:szCs w:val="24"/>
        </w:rPr>
        <w:t>Thinking Skills and Creativity</w:t>
      </w:r>
      <w:r w:rsidRPr="00B54ECC">
        <w:rPr>
          <w:rFonts w:ascii="Garamond" w:hAnsi="Garamond"/>
          <w:noProof/>
          <w:sz w:val="22"/>
          <w:szCs w:val="24"/>
        </w:rPr>
        <w:t xml:space="preserve">, </w:t>
      </w:r>
      <w:r w:rsidRPr="00B54ECC">
        <w:rPr>
          <w:rFonts w:ascii="Garamond" w:hAnsi="Garamond"/>
          <w:i/>
          <w:iCs/>
          <w:noProof/>
          <w:sz w:val="22"/>
          <w:szCs w:val="24"/>
        </w:rPr>
        <w:t>53</w:t>
      </w:r>
      <w:r w:rsidRPr="00B54ECC">
        <w:rPr>
          <w:rFonts w:ascii="Garamond" w:hAnsi="Garamond"/>
          <w:noProof/>
          <w:sz w:val="22"/>
          <w:szCs w:val="24"/>
        </w:rPr>
        <w:t>, Article 101575. https://doi.org/10.1016/j.tsc.2024.101575</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Affandy, H., Sunarno, W., Suryana, R., &amp; Harjana, H. (2024b). Exploring Middle school students’ Performance of Introduction to Vibrations and Waves. </w:t>
      </w:r>
      <w:r w:rsidRPr="00B54ECC">
        <w:rPr>
          <w:rFonts w:ascii="Garamond" w:hAnsi="Garamond"/>
          <w:i/>
          <w:iCs/>
          <w:noProof/>
          <w:sz w:val="22"/>
          <w:szCs w:val="24"/>
        </w:rPr>
        <w:t>Proceedings of the 7th International Conference on Learning Innovation and Quality Education (ICLIQE 2023)</w:t>
      </w:r>
      <w:r w:rsidRPr="00B54ECC">
        <w:rPr>
          <w:rFonts w:ascii="Garamond" w:hAnsi="Garamond"/>
          <w:noProof/>
          <w:sz w:val="22"/>
          <w:szCs w:val="24"/>
        </w:rPr>
        <w:t>, 758–768. https://doi.org/10.2991/978-2-38476-301-6_74</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Ahmed, S. I., Jamil, S., Ismatullah, H., Hussain, R., Bibi, S., Khandaker, M. U., Naveed, A., Idris, A. M., &amp; Emran, T. Bin. (2023). A comprehensive perspective of traditional Arabic or Islamic medicinal plants as an adjuvant therapy against COVID-19. </w:t>
      </w:r>
      <w:r w:rsidRPr="00B54ECC">
        <w:rPr>
          <w:rFonts w:ascii="Garamond" w:hAnsi="Garamond"/>
          <w:i/>
          <w:iCs/>
          <w:noProof/>
          <w:sz w:val="22"/>
          <w:szCs w:val="24"/>
        </w:rPr>
        <w:t>Saudi Journal of Biological Sciences</w:t>
      </w:r>
      <w:r w:rsidRPr="00B54ECC">
        <w:rPr>
          <w:rFonts w:ascii="Garamond" w:hAnsi="Garamond"/>
          <w:noProof/>
          <w:sz w:val="22"/>
          <w:szCs w:val="24"/>
        </w:rPr>
        <w:t xml:space="preserve">, </w:t>
      </w:r>
      <w:r w:rsidRPr="00B54ECC">
        <w:rPr>
          <w:rFonts w:ascii="Garamond" w:hAnsi="Garamond"/>
          <w:i/>
          <w:iCs/>
          <w:noProof/>
          <w:sz w:val="22"/>
          <w:szCs w:val="24"/>
        </w:rPr>
        <w:t>30</w:t>
      </w:r>
      <w:r w:rsidRPr="00B54ECC">
        <w:rPr>
          <w:rFonts w:ascii="Garamond" w:hAnsi="Garamond"/>
          <w:noProof/>
          <w:sz w:val="22"/>
          <w:szCs w:val="24"/>
        </w:rPr>
        <w:t>(3), 103561. https://doi.org/10.1016/j.sjbs.2023.103561</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Arfianawati, S., Sudarmin, M., &amp; Sumarni, W. (2016). Model pembelajaran kimia berbasis etnosains untuk meningkatkan kemampuan berpikir kritis siswa. </w:t>
      </w:r>
      <w:r w:rsidRPr="00B54ECC">
        <w:rPr>
          <w:rFonts w:ascii="Garamond" w:hAnsi="Garamond"/>
          <w:i/>
          <w:iCs/>
          <w:noProof/>
          <w:sz w:val="22"/>
          <w:szCs w:val="24"/>
        </w:rPr>
        <w:t>Jurnal Pengajaran MIPA</w:t>
      </w:r>
      <w:r w:rsidRPr="00B54ECC">
        <w:rPr>
          <w:rFonts w:ascii="Garamond" w:hAnsi="Garamond"/>
          <w:noProof/>
          <w:sz w:val="22"/>
          <w:szCs w:val="24"/>
        </w:rPr>
        <w:t xml:space="preserve">, </w:t>
      </w:r>
      <w:r w:rsidRPr="00B54ECC">
        <w:rPr>
          <w:rFonts w:ascii="Garamond" w:hAnsi="Garamond"/>
          <w:i/>
          <w:iCs/>
          <w:noProof/>
          <w:sz w:val="22"/>
          <w:szCs w:val="24"/>
        </w:rPr>
        <w:t>21</w:t>
      </w:r>
      <w:r w:rsidRPr="00B54ECC">
        <w:rPr>
          <w:rFonts w:ascii="Garamond" w:hAnsi="Garamond"/>
          <w:noProof/>
          <w:sz w:val="22"/>
          <w:szCs w:val="24"/>
        </w:rPr>
        <w:t>(1), 46–51.</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Arsad, N. M., Osman, K., &amp; Soh, T. M. T. (2011). Instrument development for 21st century skills in Biology. </w:t>
      </w:r>
      <w:r w:rsidRPr="00B54ECC">
        <w:rPr>
          <w:rFonts w:ascii="Garamond" w:hAnsi="Garamond"/>
          <w:i/>
          <w:iCs/>
          <w:noProof/>
          <w:sz w:val="22"/>
          <w:szCs w:val="24"/>
        </w:rPr>
        <w:t>Procedia - Social and Behavioral Sciences</w:t>
      </w:r>
      <w:r w:rsidRPr="00B54ECC">
        <w:rPr>
          <w:rFonts w:ascii="Garamond" w:hAnsi="Garamond"/>
          <w:noProof/>
          <w:sz w:val="22"/>
          <w:szCs w:val="24"/>
        </w:rPr>
        <w:t xml:space="preserve">, </w:t>
      </w:r>
      <w:r w:rsidRPr="00B54ECC">
        <w:rPr>
          <w:rFonts w:ascii="Garamond" w:hAnsi="Garamond"/>
          <w:i/>
          <w:iCs/>
          <w:noProof/>
          <w:sz w:val="22"/>
          <w:szCs w:val="24"/>
        </w:rPr>
        <w:t>15</w:t>
      </w:r>
      <w:r w:rsidRPr="00B54ECC">
        <w:rPr>
          <w:rFonts w:ascii="Garamond" w:hAnsi="Garamond"/>
          <w:noProof/>
          <w:sz w:val="22"/>
          <w:szCs w:val="24"/>
        </w:rPr>
        <w:t>, 1470–1474. https://doi.org/10.1016/j.sbspro.2011.03.312</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Awad, A., &amp; Al-Shaye, D. (2014). Public awareness, patterns of use and attitudes toward natural health products in Kuwait: A cross-sectional survey. </w:t>
      </w:r>
      <w:r w:rsidRPr="00B54ECC">
        <w:rPr>
          <w:rFonts w:ascii="Garamond" w:hAnsi="Garamond"/>
          <w:i/>
          <w:iCs/>
          <w:noProof/>
          <w:sz w:val="22"/>
          <w:szCs w:val="24"/>
        </w:rPr>
        <w:t>BMC Complementary and Alternative Medicine</w:t>
      </w:r>
      <w:r w:rsidRPr="00B54ECC">
        <w:rPr>
          <w:rFonts w:ascii="Garamond" w:hAnsi="Garamond"/>
          <w:noProof/>
          <w:sz w:val="22"/>
          <w:szCs w:val="24"/>
        </w:rPr>
        <w:t xml:space="preserve">, </w:t>
      </w:r>
      <w:r w:rsidRPr="00B54ECC">
        <w:rPr>
          <w:rFonts w:ascii="Garamond" w:hAnsi="Garamond"/>
          <w:i/>
          <w:iCs/>
          <w:noProof/>
          <w:sz w:val="22"/>
          <w:szCs w:val="24"/>
        </w:rPr>
        <w:t>14</w:t>
      </w:r>
      <w:r w:rsidRPr="00B54ECC">
        <w:rPr>
          <w:rFonts w:ascii="Garamond" w:hAnsi="Garamond"/>
          <w:noProof/>
          <w:sz w:val="22"/>
          <w:szCs w:val="24"/>
        </w:rPr>
        <w:t>, 1–11. https://doi.org/10.1186/1472-6882-14-105</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lastRenderedPageBreak/>
        <w:t xml:space="preserve">Balta, N., &amp; Asikainen, M. A. (2019). Introductory students’ attitudes and approaches to physics problem solving: Major, achievement level and gender differences. </w:t>
      </w:r>
      <w:r w:rsidRPr="00B54ECC">
        <w:rPr>
          <w:rFonts w:ascii="Garamond" w:hAnsi="Garamond"/>
          <w:i/>
          <w:iCs/>
          <w:noProof/>
          <w:sz w:val="22"/>
          <w:szCs w:val="24"/>
        </w:rPr>
        <w:t>Journal of Technology and Science Education</w:t>
      </w:r>
      <w:r w:rsidRPr="00B54ECC">
        <w:rPr>
          <w:rFonts w:ascii="Garamond" w:hAnsi="Garamond"/>
          <w:noProof/>
          <w:sz w:val="22"/>
          <w:szCs w:val="24"/>
        </w:rPr>
        <w:t xml:space="preserve">, </w:t>
      </w:r>
      <w:r w:rsidRPr="00B54ECC">
        <w:rPr>
          <w:rFonts w:ascii="Garamond" w:hAnsi="Garamond"/>
          <w:i/>
          <w:iCs/>
          <w:noProof/>
          <w:sz w:val="22"/>
          <w:szCs w:val="24"/>
        </w:rPr>
        <w:t>9</w:t>
      </w:r>
      <w:r w:rsidRPr="00B54ECC">
        <w:rPr>
          <w:rFonts w:ascii="Garamond" w:hAnsi="Garamond"/>
          <w:noProof/>
          <w:sz w:val="22"/>
          <w:szCs w:val="24"/>
        </w:rPr>
        <w:t>(3), 378–387. https://doi.org/10.3926/JOTSE.666</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Botstein, D., &amp; Bialek, W. (2004). Introductory science and mathematics education for 21st-Century biologists. </w:t>
      </w:r>
      <w:r w:rsidRPr="00B54ECC">
        <w:rPr>
          <w:rFonts w:ascii="Garamond" w:hAnsi="Garamond"/>
          <w:i/>
          <w:iCs/>
          <w:noProof/>
          <w:sz w:val="22"/>
          <w:szCs w:val="24"/>
        </w:rPr>
        <w:t>Science</w:t>
      </w:r>
      <w:r w:rsidRPr="00B54ECC">
        <w:rPr>
          <w:rFonts w:ascii="Garamond" w:hAnsi="Garamond"/>
          <w:noProof/>
          <w:sz w:val="22"/>
          <w:szCs w:val="24"/>
        </w:rPr>
        <w:t xml:space="preserve">, </w:t>
      </w:r>
      <w:r w:rsidRPr="00B54ECC">
        <w:rPr>
          <w:rFonts w:ascii="Garamond" w:hAnsi="Garamond"/>
          <w:i/>
          <w:iCs/>
          <w:noProof/>
          <w:sz w:val="22"/>
          <w:szCs w:val="24"/>
        </w:rPr>
        <w:t>303</w:t>
      </w:r>
      <w:r w:rsidRPr="00B54ECC">
        <w:rPr>
          <w:rFonts w:ascii="Garamond" w:hAnsi="Garamond"/>
          <w:noProof/>
          <w:sz w:val="22"/>
          <w:szCs w:val="24"/>
        </w:rPr>
        <w:t>(5659), 788–790. http://www.sciencemag.org/cgi/doi/10.1126/science.1095480</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Budiarti, M., Maruzy, A., Mujahid, R., Sari, A. N., Jokopriyambodo, W., Widayat, T., &amp; Wahyono, S. (2020). The use of antimalarial plants as traditional treatment in Papua Island, Indonesia. </w:t>
      </w:r>
      <w:r w:rsidRPr="00B54ECC">
        <w:rPr>
          <w:rFonts w:ascii="Garamond" w:hAnsi="Garamond"/>
          <w:i/>
          <w:iCs/>
          <w:noProof/>
          <w:sz w:val="22"/>
          <w:szCs w:val="24"/>
        </w:rPr>
        <w:t>Heliyon</w:t>
      </w:r>
      <w:r w:rsidRPr="00B54ECC">
        <w:rPr>
          <w:rFonts w:ascii="Garamond" w:hAnsi="Garamond"/>
          <w:noProof/>
          <w:sz w:val="22"/>
          <w:szCs w:val="24"/>
        </w:rPr>
        <w:t xml:space="preserve">, </w:t>
      </w:r>
      <w:r w:rsidRPr="00B54ECC">
        <w:rPr>
          <w:rFonts w:ascii="Garamond" w:hAnsi="Garamond"/>
          <w:i/>
          <w:iCs/>
          <w:noProof/>
          <w:sz w:val="22"/>
          <w:szCs w:val="24"/>
        </w:rPr>
        <w:t>6</w:t>
      </w:r>
      <w:r w:rsidRPr="00B54ECC">
        <w:rPr>
          <w:rFonts w:ascii="Garamond" w:hAnsi="Garamond"/>
          <w:noProof/>
          <w:sz w:val="22"/>
          <w:szCs w:val="24"/>
        </w:rPr>
        <w:t>(12). https://doi.org/10.1016/j.heliyon.2020.e05562</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Cahyaningsih, R., Magos Brehm, J., &amp; Maxted, N. (2021). Gap analysis of Indonesian priority medicinal plant species as part of their conservation planning. </w:t>
      </w:r>
      <w:r w:rsidRPr="00B54ECC">
        <w:rPr>
          <w:rFonts w:ascii="Garamond" w:hAnsi="Garamond"/>
          <w:i/>
          <w:iCs/>
          <w:noProof/>
          <w:sz w:val="22"/>
          <w:szCs w:val="24"/>
        </w:rPr>
        <w:t>Global Ecology and Conservation</w:t>
      </w:r>
      <w:r w:rsidRPr="00B54ECC">
        <w:rPr>
          <w:rFonts w:ascii="Garamond" w:hAnsi="Garamond"/>
          <w:noProof/>
          <w:sz w:val="22"/>
          <w:szCs w:val="24"/>
        </w:rPr>
        <w:t xml:space="preserve">, </w:t>
      </w:r>
      <w:r w:rsidRPr="00B54ECC">
        <w:rPr>
          <w:rFonts w:ascii="Garamond" w:hAnsi="Garamond"/>
          <w:i/>
          <w:iCs/>
          <w:noProof/>
          <w:sz w:val="22"/>
          <w:szCs w:val="24"/>
        </w:rPr>
        <w:t>26</w:t>
      </w:r>
      <w:r w:rsidRPr="00B54ECC">
        <w:rPr>
          <w:rFonts w:ascii="Garamond" w:hAnsi="Garamond"/>
          <w:noProof/>
          <w:sz w:val="22"/>
          <w:szCs w:val="24"/>
        </w:rPr>
        <w:t>, e01459. https://doi.org/10.1016/j.gecco.2021.e01459</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Cahyaningsih, R., Phillips, J., Magos Brehm, J., Gaisberger, H., &amp; Maxted, N. (2021). Climate change impact on medicinal plants in Indonesia. </w:t>
      </w:r>
      <w:r w:rsidRPr="00B54ECC">
        <w:rPr>
          <w:rFonts w:ascii="Garamond" w:hAnsi="Garamond"/>
          <w:i/>
          <w:iCs/>
          <w:noProof/>
          <w:sz w:val="22"/>
          <w:szCs w:val="24"/>
        </w:rPr>
        <w:t>Global Ecology and Conservation</w:t>
      </w:r>
      <w:r w:rsidRPr="00B54ECC">
        <w:rPr>
          <w:rFonts w:ascii="Garamond" w:hAnsi="Garamond"/>
          <w:noProof/>
          <w:sz w:val="22"/>
          <w:szCs w:val="24"/>
        </w:rPr>
        <w:t xml:space="preserve">, </w:t>
      </w:r>
      <w:r w:rsidRPr="00B54ECC">
        <w:rPr>
          <w:rFonts w:ascii="Garamond" w:hAnsi="Garamond"/>
          <w:i/>
          <w:iCs/>
          <w:noProof/>
          <w:sz w:val="22"/>
          <w:szCs w:val="24"/>
        </w:rPr>
        <w:t>30</w:t>
      </w:r>
      <w:r w:rsidRPr="00B54ECC">
        <w:rPr>
          <w:rFonts w:ascii="Garamond" w:hAnsi="Garamond"/>
          <w:noProof/>
          <w:sz w:val="22"/>
          <w:szCs w:val="24"/>
        </w:rPr>
        <w:t>(August), e01752. https://doi.org/10.1016/j.gecco.2021.e01752</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Cardoso-Andrade, M., Cruz-Jesus, F., Souza Troncoso, J., Queiroga, H., &amp; M. S. Gonçalves, J. (2022). Understanding technological, cultural, and environmental motivators explaining the adoption of citizen science apps for coastal environment monitoring. </w:t>
      </w:r>
      <w:r w:rsidRPr="00B54ECC">
        <w:rPr>
          <w:rFonts w:ascii="Garamond" w:hAnsi="Garamond"/>
          <w:i/>
          <w:iCs/>
          <w:noProof/>
          <w:sz w:val="22"/>
          <w:szCs w:val="24"/>
        </w:rPr>
        <w:t>Global Environmental Change</w:t>
      </w:r>
      <w:r w:rsidRPr="00B54ECC">
        <w:rPr>
          <w:rFonts w:ascii="Garamond" w:hAnsi="Garamond"/>
          <w:noProof/>
          <w:sz w:val="22"/>
          <w:szCs w:val="24"/>
        </w:rPr>
        <w:t xml:space="preserve">, </w:t>
      </w:r>
      <w:r w:rsidRPr="00B54ECC">
        <w:rPr>
          <w:rFonts w:ascii="Garamond" w:hAnsi="Garamond"/>
          <w:i/>
          <w:iCs/>
          <w:noProof/>
          <w:sz w:val="22"/>
          <w:szCs w:val="24"/>
        </w:rPr>
        <w:t>77</w:t>
      </w:r>
      <w:r w:rsidRPr="00B54ECC">
        <w:rPr>
          <w:rFonts w:ascii="Garamond" w:hAnsi="Garamond"/>
          <w:noProof/>
          <w:sz w:val="22"/>
          <w:szCs w:val="24"/>
        </w:rPr>
        <w:t>(September), 102606. https://doi.org/10.1016/j.gloenvcha.2022.102606</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Carrió, M., Agell, L., Banos, J.-E., Moyano, E., Larramona, P., &amp; ´erez, J. P. (2016). Benefits of using a hybrid problem-based learning curriculum to improve long-term learning acquisition in undergraduate biology education. </w:t>
      </w:r>
      <w:r w:rsidRPr="00B54ECC">
        <w:rPr>
          <w:rFonts w:ascii="Garamond" w:hAnsi="Garamond"/>
          <w:i/>
          <w:iCs/>
          <w:noProof/>
          <w:sz w:val="22"/>
          <w:szCs w:val="24"/>
        </w:rPr>
        <w:t>FEMS Microbiology Letters</w:t>
      </w:r>
      <w:r w:rsidRPr="00B54ECC">
        <w:rPr>
          <w:rFonts w:ascii="Garamond" w:hAnsi="Garamond"/>
          <w:noProof/>
          <w:sz w:val="22"/>
          <w:szCs w:val="24"/>
        </w:rPr>
        <w:t xml:space="preserve">, </w:t>
      </w:r>
      <w:r w:rsidRPr="00B54ECC">
        <w:rPr>
          <w:rFonts w:ascii="Garamond" w:hAnsi="Garamond"/>
          <w:i/>
          <w:iCs/>
          <w:noProof/>
          <w:sz w:val="22"/>
          <w:szCs w:val="24"/>
        </w:rPr>
        <w:t>363</w:t>
      </w:r>
      <w:r w:rsidRPr="00B54ECC">
        <w:rPr>
          <w:rFonts w:ascii="Garamond" w:hAnsi="Garamond"/>
          <w:noProof/>
          <w:sz w:val="22"/>
          <w:szCs w:val="24"/>
        </w:rPr>
        <w:t>, 1–8. https://doi.org/10.1093/femsle/fnw159</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Creswell, J. W. (2012). </w:t>
      </w:r>
      <w:r w:rsidRPr="00B54ECC">
        <w:rPr>
          <w:rFonts w:ascii="Garamond" w:hAnsi="Garamond"/>
          <w:i/>
          <w:iCs/>
          <w:noProof/>
          <w:sz w:val="22"/>
          <w:szCs w:val="24"/>
        </w:rPr>
        <w:t>Educational Research: Planning, Conducting and Evaluating Quantitative and Qualitative Research</w:t>
      </w:r>
      <w:r w:rsidRPr="00B54ECC">
        <w:rPr>
          <w:rFonts w:ascii="Garamond" w:hAnsi="Garamond"/>
          <w:noProof/>
          <w:sz w:val="22"/>
          <w:szCs w:val="24"/>
        </w:rPr>
        <w:t xml:space="preserve"> (4th ed.). Pearson Education.</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Ervina, M. N., &amp; Mulyono, Y. (2019). Etnobotani Meniran Hijau (Phyllanthus ninuri L) Sebagai Potensi Obat Kayap Ular (Herpes Zoster) dalam Tradisi Suku Dayak Ngaju. </w:t>
      </w:r>
      <w:r w:rsidRPr="00B54ECC">
        <w:rPr>
          <w:rFonts w:ascii="Garamond" w:hAnsi="Garamond"/>
          <w:i/>
          <w:iCs/>
          <w:noProof/>
          <w:sz w:val="22"/>
          <w:szCs w:val="24"/>
        </w:rPr>
        <w:t>Jurnal Jejaring Matematika Dan Sains</w:t>
      </w:r>
      <w:r w:rsidRPr="00B54ECC">
        <w:rPr>
          <w:rFonts w:ascii="Garamond" w:hAnsi="Garamond"/>
          <w:noProof/>
          <w:sz w:val="22"/>
          <w:szCs w:val="24"/>
        </w:rPr>
        <w:t xml:space="preserve">, </w:t>
      </w:r>
      <w:r w:rsidRPr="00B54ECC">
        <w:rPr>
          <w:rFonts w:ascii="Garamond" w:hAnsi="Garamond"/>
          <w:i/>
          <w:iCs/>
          <w:noProof/>
          <w:sz w:val="22"/>
          <w:szCs w:val="24"/>
        </w:rPr>
        <w:t>1</w:t>
      </w:r>
      <w:r w:rsidRPr="00B54ECC">
        <w:rPr>
          <w:rFonts w:ascii="Garamond" w:hAnsi="Garamond"/>
          <w:noProof/>
          <w:sz w:val="22"/>
          <w:szCs w:val="24"/>
        </w:rPr>
        <w:t>(1), 30–38. https://doi.org/10.36873/jjms.v1i1.134</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Franco-Moraes, J., Clement, C. R., Cabral de Oliveira, J., &amp; Oliveira, A. A. de. (2021). A framework for identifying and integrating sociocultural and environmental elements of indigenous peoples’ and local communities’ landscape transformations. </w:t>
      </w:r>
      <w:r w:rsidRPr="00B54ECC">
        <w:rPr>
          <w:rFonts w:ascii="Garamond" w:hAnsi="Garamond"/>
          <w:i/>
          <w:iCs/>
          <w:noProof/>
          <w:sz w:val="22"/>
          <w:szCs w:val="24"/>
        </w:rPr>
        <w:t>Perspectives in Ecology and Conservation</w:t>
      </w:r>
      <w:r w:rsidRPr="00B54ECC">
        <w:rPr>
          <w:rFonts w:ascii="Garamond" w:hAnsi="Garamond"/>
          <w:noProof/>
          <w:sz w:val="22"/>
          <w:szCs w:val="24"/>
        </w:rPr>
        <w:t xml:space="preserve">, </w:t>
      </w:r>
      <w:r w:rsidRPr="00B54ECC">
        <w:rPr>
          <w:rFonts w:ascii="Garamond" w:hAnsi="Garamond"/>
          <w:i/>
          <w:iCs/>
          <w:noProof/>
          <w:sz w:val="22"/>
          <w:szCs w:val="24"/>
        </w:rPr>
        <w:t>19</w:t>
      </w:r>
      <w:r w:rsidRPr="00B54ECC">
        <w:rPr>
          <w:rFonts w:ascii="Garamond" w:hAnsi="Garamond"/>
          <w:noProof/>
          <w:sz w:val="22"/>
          <w:szCs w:val="24"/>
        </w:rPr>
        <w:t>(2), 143–152. https://doi.org/10.1016/j.pecon.2021.02.008</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Guven, H., Kalkan, S., Hocaoglu, N., Yildiztepe, E., &amp; Gokalp, G. (2019). Evaluation of the knowledge level and usage attitudes of the medical students on the medicinal herbs and herbal products: a project of special study module in the first three years of the school of medicine. </w:t>
      </w:r>
      <w:r w:rsidRPr="00B54ECC">
        <w:rPr>
          <w:rFonts w:ascii="Garamond" w:hAnsi="Garamond"/>
          <w:i/>
          <w:iCs/>
          <w:noProof/>
          <w:sz w:val="22"/>
          <w:szCs w:val="24"/>
        </w:rPr>
        <w:t>International Journal of Basic &amp; Clinical Pharmacology</w:t>
      </w:r>
      <w:r w:rsidRPr="00B54ECC">
        <w:rPr>
          <w:rFonts w:ascii="Garamond" w:hAnsi="Garamond"/>
          <w:noProof/>
          <w:sz w:val="22"/>
          <w:szCs w:val="24"/>
        </w:rPr>
        <w:t xml:space="preserve">, </w:t>
      </w:r>
      <w:r w:rsidRPr="00B54ECC">
        <w:rPr>
          <w:rFonts w:ascii="Garamond" w:hAnsi="Garamond"/>
          <w:i/>
          <w:iCs/>
          <w:noProof/>
          <w:sz w:val="22"/>
          <w:szCs w:val="24"/>
        </w:rPr>
        <w:t>8</w:t>
      </w:r>
      <w:r w:rsidRPr="00B54ECC">
        <w:rPr>
          <w:rFonts w:ascii="Garamond" w:hAnsi="Garamond"/>
          <w:noProof/>
          <w:sz w:val="22"/>
          <w:szCs w:val="24"/>
        </w:rPr>
        <w:t>(3), 394. https://doi.org/10.18203/2319-2003.ijbcp20190566</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Hossain, M. S., Sharfaraz, A., Dutta, A., Ahsan, A., Masud, M. A., Ahmed, I. A., Goh, B. H., Urbi, Z., Sarker, M. M. R., &amp; Ming, L. C. (2021). A review of ethnobotany, phytochemistry, antimicrobial pharmacology and toxicology of Nigella sativa L. </w:t>
      </w:r>
      <w:r w:rsidRPr="00B54ECC">
        <w:rPr>
          <w:rFonts w:ascii="Garamond" w:hAnsi="Garamond"/>
          <w:i/>
          <w:iCs/>
          <w:noProof/>
          <w:sz w:val="22"/>
          <w:szCs w:val="24"/>
        </w:rPr>
        <w:t>Biomedicine and Pharmacotherapy</w:t>
      </w:r>
      <w:r w:rsidRPr="00B54ECC">
        <w:rPr>
          <w:rFonts w:ascii="Garamond" w:hAnsi="Garamond"/>
          <w:noProof/>
          <w:sz w:val="22"/>
          <w:szCs w:val="24"/>
        </w:rPr>
        <w:t xml:space="preserve">, </w:t>
      </w:r>
      <w:r w:rsidRPr="00B54ECC">
        <w:rPr>
          <w:rFonts w:ascii="Garamond" w:hAnsi="Garamond"/>
          <w:i/>
          <w:iCs/>
          <w:noProof/>
          <w:sz w:val="22"/>
          <w:szCs w:val="24"/>
        </w:rPr>
        <w:t>143</w:t>
      </w:r>
      <w:r w:rsidRPr="00B54ECC">
        <w:rPr>
          <w:rFonts w:ascii="Garamond" w:hAnsi="Garamond"/>
          <w:noProof/>
          <w:sz w:val="22"/>
          <w:szCs w:val="24"/>
        </w:rPr>
        <w:t>, 112182. https://doi.org/10.1016/j.biopha.2021.112182</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Huang, Y., &amp; Bu, Y. (2023). Institutional environment and college students’ entrepreneurial willingness: A comparative study of Chinese provinces based on fsQCA. </w:t>
      </w:r>
      <w:r w:rsidRPr="00B54ECC">
        <w:rPr>
          <w:rFonts w:ascii="Garamond" w:hAnsi="Garamond"/>
          <w:i/>
          <w:iCs/>
          <w:noProof/>
          <w:sz w:val="22"/>
          <w:szCs w:val="24"/>
        </w:rPr>
        <w:t>Journal of Innovation and Knowledge</w:t>
      </w:r>
      <w:r w:rsidRPr="00B54ECC">
        <w:rPr>
          <w:rFonts w:ascii="Garamond" w:hAnsi="Garamond"/>
          <w:noProof/>
          <w:sz w:val="22"/>
          <w:szCs w:val="24"/>
        </w:rPr>
        <w:t xml:space="preserve">, </w:t>
      </w:r>
      <w:r w:rsidRPr="00B54ECC">
        <w:rPr>
          <w:rFonts w:ascii="Garamond" w:hAnsi="Garamond"/>
          <w:i/>
          <w:iCs/>
          <w:noProof/>
          <w:sz w:val="22"/>
          <w:szCs w:val="24"/>
        </w:rPr>
        <w:t>8</w:t>
      </w:r>
      <w:r w:rsidRPr="00B54ECC">
        <w:rPr>
          <w:rFonts w:ascii="Garamond" w:hAnsi="Garamond"/>
          <w:noProof/>
          <w:sz w:val="22"/>
          <w:szCs w:val="24"/>
        </w:rPr>
        <w:t>(1), 100307. https://doi.org/10.1016/j.jik.2023.100307</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Jantan, I. (1998). The real value of medicinal plants in traditional health care. </w:t>
      </w:r>
      <w:r w:rsidRPr="00B54ECC">
        <w:rPr>
          <w:rFonts w:ascii="Garamond" w:hAnsi="Garamond"/>
          <w:i/>
          <w:iCs/>
          <w:noProof/>
          <w:sz w:val="22"/>
          <w:szCs w:val="24"/>
        </w:rPr>
        <w:t>Proceedings of the Seminar- Medicinal Plants: Cure for the 21 Century</w:t>
      </w:r>
      <w:r w:rsidRPr="00B54ECC">
        <w:rPr>
          <w:rFonts w:ascii="Garamond" w:hAnsi="Garamond"/>
          <w:noProof/>
          <w:sz w:val="22"/>
          <w:szCs w:val="24"/>
        </w:rPr>
        <w:t>, 20–24.</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Jiménez-Balam, D., Alcalá, L., &amp; Salgado, D. (2019). Maya children’s medicinal plant knowledge: Initiative and agency in their learning process. </w:t>
      </w:r>
      <w:r w:rsidRPr="00B54ECC">
        <w:rPr>
          <w:rFonts w:ascii="Garamond" w:hAnsi="Garamond"/>
          <w:i/>
          <w:iCs/>
          <w:noProof/>
          <w:sz w:val="22"/>
          <w:szCs w:val="24"/>
        </w:rPr>
        <w:t>Learning, Culture and Social Interaction</w:t>
      </w:r>
      <w:r w:rsidRPr="00B54ECC">
        <w:rPr>
          <w:rFonts w:ascii="Garamond" w:hAnsi="Garamond"/>
          <w:noProof/>
          <w:sz w:val="22"/>
          <w:szCs w:val="24"/>
        </w:rPr>
        <w:t xml:space="preserve">, </w:t>
      </w:r>
      <w:r w:rsidRPr="00B54ECC">
        <w:rPr>
          <w:rFonts w:ascii="Garamond" w:hAnsi="Garamond"/>
          <w:i/>
          <w:iCs/>
          <w:noProof/>
          <w:sz w:val="22"/>
          <w:szCs w:val="24"/>
        </w:rPr>
        <w:t>22</w:t>
      </w:r>
      <w:r w:rsidRPr="00B54ECC">
        <w:rPr>
          <w:rFonts w:ascii="Garamond" w:hAnsi="Garamond"/>
          <w:noProof/>
          <w:sz w:val="22"/>
          <w:szCs w:val="24"/>
        </w:rPr>
        <w:t>(June), 100333. https://doi.org/10.1016/j.lcsi.2019.100333</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Kayani, S., Ahmad, M., Zafar, M., Sultana, S., Khan, M. P. Z., Ashraf, M. A., Hussain, J., &amp; Yaseen, G. (2014). Ethnobotanical uses of medicinal plants for respiratory disorders among the inhabitants of Gallies - Abbottabad, Northern Pakistan. </w:t>
      </w:r>
      <w:r w:rsidRPr="00B54ECC">
        <w:rPr>
          <w:rFonts w:ascii="Garamond" w:hAnsi="Garamond"/>
          <w:i/>
          <w:iCs/>
          <w:noProof/>
          <w:sz w:val="22"/>
          <w:szCs w:val="24"/>
        </w:rPr>
        <w:t>Journal of Ethnopharmacology</w:t>
      </w:r>
      <w:r w:rsidRPr="00B54ECC">
        <w:rPr>
          <w:rFonts w:ascii="Garamond" w:hAnsi="Garamond"/>
          <w:noProof/>
          <w:sz w:val="22"/>
          <w:szCs w:val="24"/>
        </w:rPr>
        <w:t xml:space="preserve">, </w:t>
      </w:r>
      <w:r w:rsidRPr="00B54ECC">
        <w:rPr>
          <w:rFonts w:ascii="Garamond" w:hAnsi="Garamond"/>
          <w:i/>
          <w:iCs/>
          <w:noProof/>
          <w:sz w:val="22"/>
          <w:szCs w:val="24"/>
        </w:rPr>
        <w:t>156</w:t>
      </w:r>
      <w:r w:rsidRPr="00B54ECC">
        <w:rPr>
          <w:rFonts w:ascii="Garamond" w:hAnsi="Garamond"/>
          <w:noProof/>
          <w:sz w:val="22"/>
          <w:szCs w:val="24"/>
        </w:rPr>
        <w:t>, 47–60. https://doi.org/10.1016/j.jep.2014.08.005</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Kemenperin. (2014). </w:t>
      </w:r>
      <w:r w:rsidRPr="00B54ECC">
        <w:rPr>
          <w:rFonts w:ascii="Garamond" w:hAnsi="Garamond"/>
          <w:i/>
          <w:iCs/>
          <w:noProof/>
          <w:sz w:val="22"/>
          <w:szCs w:val="24"/>
        </w:rPr>
        <w:t>Omzet Jamu dan Obat Tradisional Capai Rp 15T</w:t>
      </w:r>
      <w:r w:rsidRPr="00B54ECC">
        <w:rPr>
          <w:rFonts w:ascii="Garamond" w:hAnsi="Garamond"/>
          <w:noProof/>
          <w:sz w:val="22"/>
          <w:szCs w:val="24"/>
        </w:rPr>
        <w:t xml:space="preserve">. Https://Kemenperin.Go.Id/. </w:t>
      </w:r>
      <w:r w:rsidRPr="00B54ECC">
        <w:rPr>
          <w:rFonts w:ascii="Garamond" w:hAnsi="Garamond"/>
          <w:noProof/>
          <w:sz w:val="22"/>
          <w:szCs w:val="24"/>
        </w:rPr>
        <w:lastRenderedPageBreak/>
        <w:t>https://kemenperin.go.id/artikel/9889/Omzet-Jamu-dan-ObatTradisional-Capai-Rp-15T</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Kusumadani, A. I., Affandy, H., Sunarno, W., Suryana, R., &amp; Andiena, R. Z. (2024). Novel approach in enhancing science education through problem-based creative learning and Delphi evaluation. </w:t>
      </w:r>
      <w:r w:rsidRPr="00B54ECC">
        <w:rPr>
          <w:rFonts w:ascii="Garamond" w:hAnsi="Garamond"/>
          <w:i/>
          <w:iCs/>
          <w:noProof/>
          <w:sz w:val="22"/>
          <w:szCs w:val="24"/>
        </w:rPr>
        <w:t>Jurnal Pendidikan IPA Indonesia</w:t>
      </w:r>
      <w:r w:rsidRPr="00B54ECC">
        <w:rPr>
          <w:rFonts w:ascii="Garamond" w:hAnsi="Garamond"/>
          <w:noProof/>
          <w:sz w:val="22"/>
          <w:szCs w:val="24"/>
        </w:rPr>
        <w:t xml:space="preserve">, </w:t>
      </w:r>
      <w:r w:rsidRPr="00B54ECC">
        <w:rPr>
          <w:rFonts w:ascii="Garamond" w:hAnsi="Garamond"/>
          <w:i/>
          <w:iCs/>
          <w:noProof/>
          <w:sz w:val="22"/>
          <w:szCs w:val="24"/>
        </w:rPr>
        <w:t>13</w:t>
      </w:r>
      <w:r w:rsidRPr="00B54ECC">
        <w:rPr>
          <w:rFonts w:ascii="Garamond" w:hAnsi="Garamond"/>
          <w:noProof/>
          <w:sz w:val="22"/>
          <w:szCs w:val="24"/>
        </w:rPr>
        <w:t>(4), 668–679. https://doi.org/10.15294/jpii.v13i4.852</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Linger, R. S. (2017). Design and implementation of an elective on the ethnopharmacology of appalachia for the PharmD curriculum. </w:t>
      </w:r>
      <w:r w:rsidRPr="00B54ECC">
        <w:rPr>
          <w:rFonts w:ascii="Garamond" w:hAnsi="Garamond"/>
          <w:i/>
          <w:iCs/>
          <w:noProof/>
          <w:sz w:val="22"/>
          <w:szCs w:val="24"/>
        </w:rPr>
        <w:t>American Journal of Pharmaceutical Education</w:t>
      </w:r>
      <w:r w:rsidRPr="00B54ECC">
        <w:rPr>
          <w:rFonts w:ascii="Garamond" w:hAnsi="Garamond"/>
          <w:noProof/>
          <w:sz w:val="22"/>
          <w:szCs w:val="24"/>
        </w:rPr>
        <w:t xml:space="preserve">, </w:t>
      </w:r>
      <w:r w:rsidRPr="00B54ECC">
        <w:rPr>
          <w:rFonts w:ascii="Garamond" w:hAnsi="Garamond"/>
          <w:i/>
          <w:iCs/>
          <w:noProof/>
          <w:sz w:val="22"/>
          <w:szCs w:val="24"/>
        </w:rPr>
        <w:t>81</w:t>
      </w:r>
      <w:r w:rsidRPr="00B54ECC">
        <w:rPr>
          <w:rFonts w:ascii="Garamond" w:hAnsi="Garamond"/>
          <w:noProof/>
          <w:sz w:val="22"/>
          <w:szCs w:val="24"/>
        </w:rPr>
        <w:t>(10), 47–55. https://doi.org/10.5688/ajpe6100</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Luo, C., &amp; Jiang, S. (2023). The knowledge map of gender equality in cross-cultural communication: A bibliometric approach. </w:t>
      </w:r>
      <w:r w:rsidRPr="00B54ECC">
        <w:rPr>
          <w:rFonts w:ascii="Garamond" w:hAnsi="Garamond"/>
          <w:i/>
          <w:iCs/>
          <w:noProof/>
          <w:sz w:val="22"/>
          <w:szCs w:val="24"/>
        </w:rPr>
        <w:t>Heliyon</w:t>
      </w:r>
      <w:r w:rsidRPr="00B54ECC">
        <w:rPr>
          <w:rFonts w:ascii="Garamond" w:hAnsi="Garamond"/>
          <w:noProof/>
          <w:sz w:val="22"/>
          <w:szCs w:val="24"/>
        </w:rPr>
        <w:t xml:space="preserve">, </w:t>
      </w:r>
      <w:r w:rsidRPr="00B54ECC">
        <w:rPr>
          <w:rFonts w:ascii="Garamond" w:hAnsi="Garamond"/>
          <w:i/>
          <w:iCs/>
          <w:noProof/>
          <w:sz w:val="22"/>
          <w:szCs w:val="24"/>
        </w:rPr>
        <w:t>9</w:t>
      </w:r>
      <w:r w:rsidRPr="00B54ECC">
        <w:rPr>
          <w:rFonts w:ascii="Garamond" w:hAnsi="Garamond"/>
          <w:noProof/>
          <w:sz w:val="22"/>
          <w:szCs w:val="24"/>
        </w:rPr>
        <w:t>, e16324. https://doi.org/10.1016/j.heliyon.2023.e16324</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Munadi, E. (2017). Tanaman Obat, Sebuah Tinjauan Singkat. In Z. Salim &amp; E. Munadi (Eds.), </w:t>
      </w:r>
      <w:r w:rsidRPr="00B54ECC">
        <w:rPr>
          <w:rFonts w:ascii="Garamond" w:hAnsi="Garamond"/>
          <w:i/>
          <w:iCs/>
          <w:noProof/>
          <w:sz w:val="22"/>
          <w:szCs w:val="24"/>
        </w:rPr>
        <w:t>Info Komoditi Tanaman Obat</w:t>
      </w:r>
      <w:r w:rsidRPr="00B54ECC">
        <w:rPr>
          <w:rFonts w:ascii="Garamond" w:hAnsi="Garamond"/>
          <w:noProof/>
          <w:sz w:val="22"/>
          <w:szCs w:val="24"/>
        </w:rPr>
        <w:t xml:space="preserve"> (pp. 1–8). Badan Pengkajian dan Pengembangan Perdagangan Kementerian Perdagangan Republik Indonesia.</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Nanjala, C., Odago, W. O., Rono, P. C., Waswa, E. N., Mutinda, E. S., Oulo, M. A., Muema, F. W., Wanga, V. O., Mkala, E. M., Kuja, J., Njire, M. M., &amp; Hu, G. W. (2022). A review on ethnobotany, phytochemistry, and pharmacology of the genus Didymocarpus wall. (Gesneriaceae). </w:t>
      </w:r>
      <w:r w:rsidRPr="00B54ECC">
        <w:rPr>
          <w:rFonts w:ascii="Garamond" w:hAnsi="Garamond"/>
          <w:i/>
          <w:iCs/>
          <w:noProof/>
          <w:sz w:val="22"/>
          <w:szCs w:val="24"/>
        </w:rPr>
        <w:t>Journal of Ethnopharmacology</w:t>
      </w:r>
      <w:r w:rsidRPr="00B54ECC">
        <w:rPr>
          <w:rFonts w:ascii="Garamond" w:hAnsi="Garamond"/>
          <w:noProof/>
          <w:sz w:val="22"/>
          <w:szCs w:val="24"/>
        </w:rPr>
        <w:t xml:space="preserve">, </w:t>
      </w:r>
      <w:r w:rsidRPr="00B54ECC">
        <w:rPr>
          <w:rFonts w:ascii="Garamond" w:hAnsi="Garamond"/>
          <w:i/>
          <w:iCs/>
          <w:noProof/>
          <w:sz w:val="22"/>
          <w:szCs w:val="24"/>
        </w:rPr>
        <w:t>295</w:t>
      </w:r>
      <w:r w:rsidRPr="00B54ECC">
        <w:rPr>
          <w:rFonts w:ascii="Garamond" w:hAnsi="Garamond"/>
          <w:noProof/>
          <w:sz w:val="22"/>
          <w:szCs w:val="24"/>
        </w:rPr>
        <w:t>(May), 115404. https://doi.org/10.1016/j.jep.2022.115404</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O’Neil, J. M., Newton, R. J., Bone, E. K., Birney, L. B., Green, A. E., Merrick, B., Goodwin-Segal, T., Moore, G., &amp; Fraioli, A. (2020). Using urban harbors for experiential, environmental literacy: Case studies of New York and Chesapeake Bay. </w:t>
      </w:r>
      <w:r w:rsidRPr="00B54ECC">
        <w:rPr>
          <w:rFonts w:ascii="Garamond" w:hAnsi="Garamond"/>
          <w:i/>
          <w:iCs/>
          <w:noProof/>
          <w:sz w:val="22"/>
          <w:szCs w:val="24"/>
        </w:rPr>
        <w:t>Regional Studies in Marine Science</w:t>
      </w:r>
      <w:r w:rsidRPr="00B54ECC">
        <w:rPr>
          <w:rFonts w:ascii="Garamond" w:hAnsi="Garamond"/>
          <w:noProof/>
          <w:sz w:val="22"/>
          <w:szCs w:val="24"/>
        </w:rPr>
        <w:t xml:space="preserve">, </w:t>
      </w:r>
      <w:r w:rsidRPr="00B54ECC">
        <w:rPr>
          <w:rFonts w:ascii="Garamond" w:hAnsi="Garamond"/>
          <w:i/>
          <w:iCs/>
          <w:noProof/>
          <w:sz w:val="22"/>
          <w:szCs w:val="24"/>
        </w:rPr>
        <w:t>33</w:t>
      </w:r>
      <w:r w:rsidRPr="00B54ECC">
        <w:rPr>
          <w:rFonts w:ascii="Garamond" w:hAnsi="Garamond"/>
          <w:noProof/>
          <w:sz w:val="22"/>
          <w:szCs w:val="24"/>
        </w:rPr>
        <w:t>, 100886. https://doi.org/10.1016/j.rsma.2019.100886</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Oliveras, B., Márquez, C., &amp; Sanmartí, N. (2013). The Use of Newspaper Articles as a Tool to Develop Critical Thinking in Science Classes. </w:t>
      </w:r>
      <w:r w:rsidRPr="00B54ECC">
        <w:rPr>
          <w:rFonts w:ascii="Garamond" w:hAnsi="Garamond"/>
          <w:i/>
          <w:iCs/>
          <w:noProof/>
          <w:sz w:val="22"/>
          <w:szCs w:val="24"/>
        </w:rPr>
        <w:t>International Journal of Science Education</w:t>
      </w:r>
      <w:r w:rsidRPr="00B54ECC">
        <w:rPr>
          <w:rFonts w:ascii="Garamond" w:hAnsi="Garamond"/>
          <w:noProof/>
          <w:sz w:val="22"/>
          <w:szCs w:val="24"/>
        </w:rPr>
        <w:t xml:space="preserve">, </w:t>
      </w:r>
      <w:r w:rsidRPr="00B54ECC">
        <w:rPr>
          <w:rFonts w:ascii="Garamond" w:hAnsi="Garamond"/>
          <w:i/>
          <w:iCs/>
          <w:noProof/>
          <w:sz w:val="22"/>
          <w:szCs w:val="24"/>
        </w:rPr>
        <w:t>35</w:t>
      </w:r>
      <w:r w:rsidRPr="00B54ECC">
        <w:rPr>
          <w:rFonts w:ascii="Garamond" w:hAnsi="Garamond"/>
          <w:noProof/>
          <w:sz w:val="22"/>
          <w:szCs w:val="24"/>
        </w:rPr>
        <w:t>(6), 885–905. https://doi.org/10.1080/09500693.2011.586736</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Paryadi, D. (2017). Konsumsi Tanaman Obat. In Z. Salim &amp; E. Munadi (Eds.), </w:t>
      </w:r>
      <w:r w:rsidRPr="00B54ECC">
        <w:rPr>
          <w:rFonts w:ascii="Garamond" w:hAnsi="Garamond"/>
          <w:i/>
          <w:iCs/>
          <w:noProof/>
          <w:sz w:val="22"/>
          <w:szCs w:val="24"/>
        </w:rPr>
        <w:t>Info Komoditi Tanaman Obat</w:t>
      </w:r>
      <w:r w:rsidRPr="00B54ECC">
        <w:rPr>
          <w:rFonts w:ascii="Garamond" w:hAnsi="Garamond"/>
          <w:noProof/>
          <w:sz w:val="22"/>
          <w:szCs w:val="24"/>
        </w:rPr>
        <w:t xml:space="preserve"> (pp. 21–38). Badan Pengkajian dan Pengembangan Perdagangan Kementerian Perdagangan Republik Indonesia.</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Pramushinta, I. A. K., &amp; Ajiningrum, P. S. (2017). Uji Aktivitas Sel Kanker dengan menggunakan senyawa Flavonoid dari Lengkuas (Alpinia Galanga). </w:t>
      </w:r>
      <w:r w:rsidRPr="00B54ECC">
        <w:rPr>
          <w:rFonts w:ascii="Garamond" w:hAnsi="Garamond"/>
          <w:i/>
          <w:iCs/>
          <w:noProof/>
          <w:sz w:val="22"/>
          <w:szCs w:val="24"/>
        </w:rPr>
        <w:t>STIGMA: Jurnal Matematika Dan Ilmu Pengetahuan Alam Unipa</w:t>
      </w:r>
      <w:r w:rsidRPr="00B54ECC">
        <w:rPr>
          <w:rFonts w:ascii="Garamond" w:hAnsi="Garamond"/>
          <w:noProof/>
          <w:sz w:val="22"/>
          <w:szCs w:val="24"/>
        </w:rPr>
        <w:t xml:space="preserve">, </w:t>
      </w:r>
      <w:r w:rsidRPr="00B54ECC">
        <w:rPr>
          <w:rFonts w:ascii="Garamond" w:hAnsi="Garamond"/>
          <w:i/>
          <w:iCs/>
          <w:noProof/>
          <w:sz w:val="22"/>
          <w:szCs w:val="24"/>
        </w:rPr>
        <w:t>10</w:t>
      </w:r>
      <w:r w:rsidRPr="00B54ECC">
        <w:rPr>
          <w:rFonts w:ascii="Garamond" w:hAnsi="Garamond"/>
          <w:noProof/>
          <w:sz w:val="22"/>
          <w:szCs w:val="24"/>
        </w:rPr>
        <w:t>(02), 88–92. https://doi.org/10.36456/stigma.vol10.no2.a1036</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Pratiwi, S. N., Cari, C., Aminah, N. S., &amp; Affandy, H. (2019). Problem-based learning with argumentation skills to improve students’ concept understanding. </w:t>
      </w:r>
      <w:r w:rsidRPr="00B54ECC">
        <w:rPr>
          <w:rFonts w:ascii="Garamond" w:hAnsi="Garamond"/>
          <w:i/>
          <w:iCs/>
          <w:noProof/>
          <w:sz w:val="22"/>
          <w:szCs w:val="24"/>
        </w:rPr>
        <w:t>Journal of Physics: Conference Series</w:t>
      </w:r>
      <w:r w:rsidRPr="00B54ECC">
        <w:rPr>
          <w:rFonts w:ascii="Garamond" w:hAnsi="Garamond"/>
          <w:noProof/>
          <w:sz w:val="22"/>
          <w:szCs w:val="24"/>
        </w:rPr>
        <w:t xml:space="preserve">, </w:t>
      </w:r>
      <w:r w:rsidRPr="00B54ECC">
        <w:rPr>
          <w:rFonts w:ascii="Garamond" w:hAnsi="Garamond"/>
          <w:i/>
          <w:iCs/>
          <w:noProof/>
          <w:sz w:val="22"/>
          <w:szCs w:val="24"/>
        </w:rPr>
        <w:t>1155</w:t>
      </w:r>
      <w:r w:rsidRPr="00B54ECC">
        <w:rPr>
          <w:rFonts w:ascii="Garamond" w:hAnsi="Garamond"/>
          <w:noProof/>
          <w:sz w:val="22"/>
          <w:szCs w:val="24"/>
        </w:rPr>
        <w:t>(1). https://doi.org/10.1088/1742-6596/1155/1/012065</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Puspaningsih, A. R., Tjahjadarmawan, E., &amp; Krisdianti, N. R. (2021). </w:t>
      </w:r>
      <w:r w:rsidRPr="00B54ECC">
        <w:rPr>
          <w:rFonts w:ascii="Garamond" w:hAnsi="Garamond"/>
          <w:i/>
          <w:iCs/>
          <w:noProof/>
          <w:sz w:val="22"/>
          <w:szCs w:val="24"/>
        </w:rPr>
        <w:t>Ilmu Pengetahuan Alam</w:t>
      </w:r>
      <w:r w:rsidRPr="00B54ECC">
        <w:rPr>
          <w:rFonts w:ascii="Garamond" w:hAnsi="Garamond"/>
          <w:noProof/>
          <w:sz w:val="22"/>
          <w:szCs w:val="24"/>
        </w:rPr>
        <w:t>. Pusat Kurikulum dan Perbukuan, Kementerian Pendidikan, Kebudayaan, Riset, dan Teknologi.</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Puyt, R. W., Lie, F. B., &amp; Wilderom, C. P. M. (2023). The origins of SWOT analysis. </w:t>
      </w:r>
      <w:r w:rsidRPr="00B54ECC">
        <w:rPr>
          <w:rFonts w:ascii="Garamond" w:hAnsi="Garamond"/>
          <w:i/>
          <w:iCs/>
          <w:noProof/>
          <w:sz w:val="22"/>
          <w:szCs w:val="24"/>
        </w:rPr>
        <w:t>Long Range Planning</w:t>
      </w:r>
      <w:r w:rsidRPr="00B54ECC">
        <w:rPr>
          <w:rFonts w:ascii="Garamond" w:hAnsi="Garamond"/>
          <w:noProof/>
          <w:sz w:val="22"/>
          <w:szCs w:val="24"/>
        </w:rPr>
        <w:t xml:space="preserve">, </w:t>
      </w:r>
      <w:r w:rsidRPr="00B54ECC">
        <w:rPr>
          <w:rFonts w:ascii="Garamond" w:hAnsi="Garamond"/>
          <w:i/>
          <w:iCs/>
          <w:noProof/>
          <w:sz w:val="22"/>
          <w:szCs w:val="24"/>
        </w:rPr>
        <w:t>56</w:t>
      </w:r>
      <w:r w:rsidRPr="00B54ECC">
        <w:rPr>
          <w:rFonts w:ascii="Garamond" w:hAnsi="Garamond"/>
          <w:noProof/>
          <w:sz w:val="22"/>
          <w:szCs w:val="24"/>
        </w:rPr>
        <w:t>(3), 102304. https://doi.org/10.1016/j.lrp.2023.102304</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Ramadani, A. P., Paloque, L., Belda, H., Tamhid, H. A., Masriani, Jumina, Augereau, J. M., Valentin, A., Wijayanti, M. A., Mustofa, &amp; Benoit-Vical, F. (2018). Antiprotozoal properties of Indonesian medicinal plant extracts. </w:t>
      </w:r>
      <w:r w:rsidRPr="00B54ECC">
        <w:rPr>
          <w:rFonts w:ascii="Garamond" w:hAnsi="Garamond"/>
          <w:i/>
          <w:iCs/>
          <w:noProof/>
          <w:sz w:val="22"/>
          <w:szCs w:val="24"/>
        </w:rPr>
        <w:t>Journal of Herbal Medicine</w:t>
      </w:r>
      <w:r w:rsidRPr="00B54ECC">
        <w:rPr>
          <w:rFonts w:ascii="Garamond" w:hAnsi="Garamond"/>
          <w:noProof/>
          <w:sz w:val="22"/>
          <w:szCs w:val="24"/>
        </w:rPr>
        <w:t xml:space="preserve">, </w:t>
      </w:r>
      <w:r w:rsidRPr="00B54ECC">
        <w:rPr>
          <w:rFonts w:ascii="Garamond" w:hAnsi="Garamond"/>
          <w:i/>
          <w:iCs/>
          <w:noProof/>
          <w:sz w:val="22"/>
          <w:szCs w:val="24"/>
        </w:rPr>
        <w:t>11</w:t>
      </w:r>
      <w:r w:rsidRPr="00B54ECC">
        <w:rPr>
          <w:rFonts w:ascii="Garamond" w:hAnsi="Garamond"/>
          <w:noProof/>
          <w:sz w:val="22"/>
          <w:szCs w:val="24"/>
        </w:rPr>
        <w:t>(May 2016), 46–52. https://doi.org/10.1016/j.hermed.2017.06.004</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Rana, D., Bhatt, A., &amp; Lal, B. (2019). Ethnobotanical knowledge among the semi-pastoral Gujjar tribe in the high altitude (Adhwari’s) of Churah subdivision, district Chamba, Western Himalaya. </w:t>
      </w:r>
      <w:r w:rsidRPr="00B54ECC">
        <w:rPr>
          <w:rFonts w:ascii="Garamond" w:hAnsi="Garamond"/>
          <w:i/>
          <w:iCs/>
          <w:noProof/>
          <w:sz w:val="22"/>
          <w:szCs w:val="24"/>
        </w:rPr>
        <w:t>Journal of Ethnobiology and Ethnomedicine</w:t>
      </w:r>
      <w:r w:rsidRPr="00B54ECC">
        <w:rPr>
          <w:rFonts w:ascii="Garamond" w:hAnsi="Garamond"/>
          <w:noProof/>
          <w:sz w:val="22"/>
          <w:szCs w:val="24"/>
        </w:rPr>
        <w:t xml:space="preserve">, </w:t>
      </w:r>
      <w:r w:rsidRPr="00B54ECC">
        <w:rPr>
          <w:rFonts w:ascii="Garamond" w:hAnsi="Garamond"/>
          <w:i/>
          <w:iCs/>
          <w:noProof/>
          <w:sz w:val="22"/>
          <w:szCs w:val="24"/>
        </w:rPr>
        <w:t>15</w:t>
      </w:r>
      <w:r w:rsidRPr="00B54ECC">
        <w:rPr>
          <w:rFonts w:ascii="Garamond" w:hAnsi="Garamond"/>
          <w:noProof/>
          <w:sz w:val="22"/>
          <w:szCs w:val="24"/>
        </w:rPr>
        <w:t>(1), 1–21. https://doi.org/10.1186/s13002-019-0286-3</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Sakir, N. A. I., &amp; Kim, J. G. (2020). Enhancing Students’ Learning Activity and Outcomes via Implementation of Problem-based Learning. </w:t>
      </w:r>
      <w:r w:rsidRPr="00B54ECC">
        <w:rPr>
          <w:rFonts w:ascii="Garamond" w:hAnsi="Garamond"/>
          <w:i/>
          <w:iCs/>
          <w:noProof/>
          <w:sz w:val="22"/>
          <w:szCs w:val="24"/>
        </w:rPr>
        <w:t>Eurasia Journal of Mathematics, Science and Technology Education</w:t>
      </w:r>
      <w:r w:rsidRPr="00B54ECC">
        <w:rPr>
          <w:rFonts w:ascii="Garamond" w:hAnsi="Garamond"/>
          <w:noProof/>
          <w:sz w:val="22"/>
          <w:szCs w:val="24"/>
        </w:rPr>
        <w:t xml:space="preserve">, </w:t>
      </w:r>
      <w:r w:rsidRPr="00B54ECC">
        <w:rPr>
          <w:rFonts w:ascii="Garamond" w:hAnsi="Garamond"/>
          <w:i/>
          <w:iCs/>
          <w:noProof/>
          <w:sz w:val="22"/>
          <w:szCs w:val="24"/>
        </w:rPr>
        <w:t>16</w:t>
      </w:r>
      <w:r w:rsidRPr="00B54ECC">
        <w:rPr>
          <w:rFonts w:ascii="Garamond" w:hAnsi="Garamond"/>
          <w:noProof/>
          <w:sz w:val="22"/>
          <w:szCs w:val="24"/>
        </w:rPr>
        <w:t>(12), 1–12. https://doi.org/10.29333/ejmste/9344</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Sardjito, R. D. (2023). </w:t>
      </w:r>
      <w:r w:rsidRPr="00B54ECC">
        <w:rPr>
          <w:rFonts w:ascii="Garamond" w:hAnsi="Garamond"/>
          <w:i/>
          <w:iCs/>
          <w:noProof/>
          <w:sz w:val="22"/>
          <w:szCs w:val="24"/>
        </w:rPr>
        <w:t>UPF Pelayanan Kesehatan Tradisional</w:t>
      </w:r>
      <w:r w:rsidRPr="00B54ECC">
        <w:rPr>
          <w:rFonts w:ascii="Garamond" w:hAnsi="Garamond"/>
          <w:noProof/>
          <w:sz w:val="22"/>
          <w:szCs w:val="24"/>
        </w:rPr>
        <w:t>. Wellness. https://wellness.sardjito.co.id/#:~:text=Unit Pelaksana Fungsional Pelayanan Kesehatan,Sardjito dengan branding Hortus Medicus.</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Sheikhrabori, A., Dehghan, M., &amp; Ghaedi, F. (2017). Complementary and Alternative Medicine Usage and Its Determinant Factors Among Diabetic Patients</w:t>
      </w:r>
      <w:r w:rsidRPr="00B54ECC">
        <w:rPr>
          <w:noProof/>
          <w:sz w:val="22"/>
          <w:szCs w:val="24"/>
        </w:rPr>
        <w:t> </w:t>
      </w:r>
      <w:r w:rsidRPr="00B54ECC">
        <w:rPr>
          <w:rFonts w:ascii="Garamond" w:hAnsi="Garamond"/>
          <w:noProof/>
          <w:sz w:val="22"/>
          <w:szCs w:val="24"/>
        </w:rPr>
        <w:t xml:space="preserve">: An Iranian Case. </w:t>
      </w:r>
      <w:r w:rsidRPr="00B54ECC">
        <w:rPr>
          <w:rFonts w:ascii="Garamond" w:hAnsi="Garamond"/>
          <w:i/>
          <w:iCs/>
          <w:noProof/>
          <w:sz w:val="22"/>
          <w:szCs w:val="24"/>
        </w:rPr>
        <w:t>Journal of Evidence-Based Complementary &amp; Alternative Medicine</w:t>
      </w:r>
      <w:r w:rsidRPr="00B54ECC">
        <w:rPr>
          <w:rFonts w:ascii="Garamond" w:hAnsi="Garamond"/>
          <w:noProof/>
          <w:sz w:val="22"/>
          <w:szCs w:val="24"/>
        </w:rPr>
        <w:t xml:space="preserve">, </w:t>
      </w:r>
      <w:r w:rsidRPr="00B54ECC">
        <w:rPr>
          <w:rFonts w:ascii="Garamond" w:hAnsi="Garamond"/>
          <w:i/>
          <w:iCs/>
          <w:noProof/>
          <w:sz w:val="22"/>
          <w:szCs w:val="24"/>
        </w:rPr>
        <w:t>22</w:t>
      </w:r>
      <w:r w:rsidRPr="00B54ECC">
        <w:rPr>
          <w:rFonts w:ascii="Garamond" w:hAnsi="Garamond"/>
          <w:noProof/>
          <w:sz w:val="22"/>
          <w:szCs w:val="24"/>
        </w:rPr>
        <w:t>(3), 449–454. https://doi.org/10.1177/2156587216675079</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Siskawati, K. S. (2021). Kajian Etnobotani Jenis-Jenis Bambu Sebagai Bahan Perlengkapan Rumah </w:t>
      </w:r>
      <w:r w:rsidRPr="00B54ECC">
        <w:rPr>
          <w:rFonts w:ascii="Garamond" w:hAnsi="Garamond"/>
          <w:noProof/>
          <w:sz w:val="22"/>
          <w:szCs w:val="24"/>
        </w:rPr>
        <w:lastRenderedPageBreak/>
        <w:t xml:space="preserve">Tangga dan Konstruksi di Kabupaten Lombok Barat. </w:t>
      </w:r>
      <w:r w:rsidRPr="00B54ECC">
        <w:rPr>
          <w:rFonts w:ascii="Garamond" w:hAnsi="Garamond"/>
          <w:i/>
          <w:iCs/>
          <w:noProof/>
          <w:sz w:val="22"/>
          <w:szCs w:val="24"/>
        </w:rPr>
        <w:t>Seminar Nasional Perhimpunan Masyarakat Etnobiologi Indonesia</w:t>
      </w:r>
      <w:r w:rsidRPr="00B54ECC">
        <w:rPr>
          <w:rFonts w:ascii="Garamond" w:hAnsi="Garamond"/>
          <w:noProof/>
          <w:sz w:val="22"/>
          <w:szCs w:val="24"/>
        </w:rPr>
        <w:t>, 158–164. http://jte.pmei.or.id/index.php/jte/article/view/138</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Thomas, R. E. W., Teel, T. L., &amp; Bruyere, B. L. (2014). Seeking excellence for the land of paradise: Integrating cultural information into an environmental education program in a rural Hawai’ian community. </w:t>
      </w:r>
      <w:r w:rsidRPr="00B54ECC">
        <w:rPr>
          <w:rFonts w:ascii="Garamond" w:hAnsi="Garamond"/>
          <w:i/>
          <w:iCs/>
          <w:noProof/>
          <w:sz w:val="22"/>
          <w:szCs w:val="24"/>
        </w:rPr>
        <w:t>Studies in Educational Evaluation</w:t>
      </w:r>
      <w:r w:rsidRPr="00B54ECC">
        <w:rPr>
          <w:rFonts w:ascii="Garamond" w:hAnsi="Garamond"/>
          <w:noProof/>
          <w:sz w:val="22"/>
          <w:szCs w:val="24"/>
        </w:rPr>
        <w:t xml:space="preserve">, </w:t>
      </w:r>
      <w:r w:rsidRPr="00B54ECC">
        <w:rPr>
          <w:rFonts w:ascii="Garamond" w:hAnsi="Garamond"/>
          <w:i/>
          <w:iCs/>
          <w:noProof/>
          <w:sz w:val="22"/>
          <w:szCs w:val="24"/>
        </w:rPr>
        <w:t>41</w:t>
      </w:r>
      <w:r w:rsidRPr="00B54ECC">
        <w:rPr>
          <w:rFonts w:ascii="Garamond" w:hAnsi="Garamond"/>
          <w:noProof/>
          <w:sz w:val="22"/>
          <w:szCs w:val="24"/>
        </w:rPr>
        <w:t>, 58–67. https://doi.org/10.1016/j.stueduc.2013.09.010</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Wijayakusuma, H. (1999). </w:t>
      </w:r>
      <w:r w:rsidRPr="00B54ECC">
        <w:rPr>
          <w:rFonts w:ascii="Garamond" w:hAnsi="Garamond"/>
          <w:i/>
          <w:iCs/>
          <w:noProof/>
          <w:sz w:val="22"/>
          <w:szCs w:val="24"/>
        </w:rPr>
        <w:t>Tanaman Berkhasiat Obat di Indonesia</w:t>
      </w:r>
      <w:r w:rsidRPr="00B54ECC">
        <w:rPr>
          <w:rFonts w:ascii="Garamond" w:hAnsi="Garamond"/>
          <w:noProof/>
          <w:sz w:val="22"/>
          <w:szCs w:val="24"/>
        </w:rPr>
        <w:t xml:space="preserve"> (1st Ed.). Pustaka Kartini.</w:t>
      </w:r>
    </w:p>
    <w:p w:rsidR="00A60AAA" w:rsidRPr="00B54ECC" w:rsidRDefault="00A60AAA" w:rsidP="00A60AAA">
      <w:pPr>
        <w:widowControl w:val="0"/>
        <w:autoSpaceDE w:val="0"/>
        <w:autoSpaceDN w:val="0"/>
        <w:adjustRightInd w:val="0"/>
        <w:ind w:left="480" w:hanging="480"/>
        <w:jc w:val="both"/>
        <w:rPr>
          <w:rFonts w:ascii="Garamond" w:hAnsi="Garamond"/>
          <w:noProof/>
          <w:sz w:val="22"/>
          <w:szCs w:val="24"/>
        </w:rPr>
      </w:pPr>
      <w:r w:rsidRPr="00B54ECC">
        <w:rPr>
          <w:rFonts w:ascii="Garamond" w:hAnsi="Garamond"/>
          <w:noProof/>
          <w:sz w:val="22"/>
          <w:szCs w:val="24"/>
        </w:rPr>
        <w:t xml:space="preserve">Xiong, Y., Sui, X., Ahmed, S., Wang, Z., &amp; Long, C. (2020). Ethnobotany and diversity of medicinal plants used by the Buyi in eastern Yunnan, China. </w:t>
      </w:r>
      <w:r w:rsidRPr="00B54ECC">
        <w:rPr>
          <w:rFonts w:ascii="Garamond" w:hAnsi="Garamond"/>
          <w:i/>
          <w:iCs/>
          <w:noProof/>
          <w:sz w:val="22"/>
          <w:szCs w:val="24"/>
        </w:rPr>
        <w:t>Plant Diversity</w:t>
      </w:r>
      <w:r w:rsidRPr="00B54ECC">
        <w:rPr>
          <w:rFonts w:ascii="Garamond" w:hAnsi="Garamond"/>
          <w:noProof/>
          <w:sz w:val="22"/>
          <w:szCs w:val="24"/>
        </w:rPr>
        <w:t xml:space="preserve">, </w:t>
      </w:r>
      <w:r w:rsidRPr="00B54ECC">
        <w:rPr>
          <w:rFonts w:ascii="Garamond" w:hAnsi="Garamond"/>
          <w:i/>
          <w:iCs/>
          <w:noProof/>
          <w:sz w:val="22"/>
          <w:szCs w:val="24"/>
        </w:rPr>
        <w:t>42</w:t>
      </w:r>
      <w:r w:rsidRPr="00B54ECC">
        <w:rPr>
          <w:rFonts w:ascii="Garamond" w:hAnsi="Garamond"/>
          <w:noProof/>
          <w:sz w:val="22"/>
          <w:szCs w:val="24"/>
        </w:rPr>
        <w:t>(6), 401–414. https://doi.org/10.1016/j.pld.2020.09.004</w:t>
      </w:r>
    </w:p>
    <w:p w:rsidR="00471CA5" w:rsidRPr="00B54ECC" w:rsidRDefault="00A60AAA" w:rsidP="00A60AAA">
      <w:pPr>
        <w:widowControl w:val="0"/>
        <w:autoSpaceDE w:val="0"/>
        <w:autoSpaceDN w:val="0"/>
        <w:adjustRightInd w:val="0"/>
        <w:ind w:left="480" w:hanging="480"/>
        <w:jc w:val="both"/>
        <w:rPr>
          <w:rFonts w:ascii="Garamond" w:hAnsi="Garamond"/>
          <w:sz w:val="22"/>
        </w:rPr>
      </w:pPr>
      <w:r w:rsidRPr="00B54ECC">
        <w:rPr>
          <w:rFonts w:ascii="Garamond" w:hAnsi="Garamond"/>
          <w:noProof/>
          <w:sz w:val="22"/>
          <w:szCs w:val="24"/>
        </w:rPr>
        <w:t xml:space="preserve">Zaidi, S. F., Saeed, S. A., Khan, M. A., Khan, A., Hazazi, Y., Otayn, M., Rabah, M., &amp; Daniyal, M. (2022). Public knowledge, attitudes, and practices towards herbal medicines; a cross-sectional study in Western Saudi Arabia. </w:t>
      </w:r>
      <w:r w:rsidRPr="00B54ECC">
        <w:rPr>
          <w:rFonts w:ascii="Garamond" w:hAnsi="Garamond"/>
          <w:i/>
          <w:iCs/>
          <w:noProof/>
          <w:sz w:val="22"/>
          <w:szCs w:val="24"/>
        </w:rPr>
        <w:t>BMC Complementary Medicine and Therapies</w:t>
      </w:r>
      <w:r w:rsidRPr="00B54ECC">
        <w:rPr>
          <w:rFonts w:ascii="Garamond" w:hAnsi="Garamond"/>
          <w:noProof/>
          <w:sz w:val="22"/>
          <w:szCs w:val="24"/>
        </w:rPr>
        <w:t xml:space="preserve">, </w:t>
      </w:r>
      <w:r w:rsidRPr="00B54ECC">
        <w:rPr>
          <w:rFonts w:ascii="Garamond" w:hAnsi="Garamond"/>
          <w:i/>
          <w:iCs/>
          <w:noProof/>
          <w:sz w:val="22"/>
          <w:szCs w:val="24"/>
        </w:rPr>
        <w:t>22</w:t>
      </w:r>
      <w:r w:rsidRPr="00B54ECC">
        <w:rPr>
          <w:rFonts w:ascii="Garamond" w:hAnsi="Garamond"/>
          <w:noProof/>
          <w:sz w:val="22"/>
          <w:szCs w:val="24"/>
        </w:rPr>
        <w:t>(1), 1–15. https://doi.org/10.1186/s12906-022-03783-y</w:t>
      </w:r>
      <w:r w:rsidRPr="00B54ECC">
        <w:rPr>
          <w:rFonts w:ascii="Garamond" w:hAnsi="Garamond"/>
          <w:sz w:val="22"/>
        </w:rPr>
        <w:fldChar w:fldCharType="end"/>
      </w:r>
    </w:p>
    <w:sectPr w:rsidR="00471CA5" w:rsidRPr="00B54ECC">
      <w:headerReference w:type="even" r:id="rId10"/>
      <w:footerReference w:type="even" r:id="rId11"/>
      <w:footerReference w:type="default" r:id="rId12"/>
      <w:footerReference w:type="first" r:id="rId13"/>
      <w:pgSz w:w="11907" w:h="16839"/>
      <w:pgMar w:top="2269" w:right="1418" w:bottom="1418" w:left="1701" w:header="73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58C" w:rsidRDefault="006D758C">
      <w:r>
        <w:separator/>
      </w:r>
    </w:p>
  </w:endnote>
  <w:endnote w:type="continuationSeparator" w:id="0">
    <w:p w:rsidR="006D758C" w:rsidRDefault="006D7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D00C61-07BD-4F23-8001-1249BF85C56A}"/>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EF94C3C-0E76-44A5-A8DF-A4D304E40B1C}"/>
  </w:font>
  <w:font w:name="Times">
    <w:panose1 w:val="02020603050405020304"/>
    <w:charset w:val="00"/>
    <w:family w:val="roman"/>
    <w:pitch w:val="variable"/>
    <w:sig w:usb0="E0002EFF" w:usb1="C000785B" w:usb2="00000009" w:usb3="00000000" w:csb0="000001FF" w:csb1="00000000"/>
    <w:embedRegular r:id="rId3" w:fontKey="{40E81060-2AB9-48BF-B4F1-B32472056FC1}"/>
  </w:font>
  <w:font w:name="Garamond">
    <w:panose1 w:val="02020404030301010803"/>
    <w:charset w:val="00"/>
    <w:family w:val="roman"/>
    <w:pitch w:val="variable"/>
    <w:sig w:usb0="00000287" w:usb1="00000000" w:usb2="00000000" w:usb3="00000000" w:csb0="0000009F" w:csb1="00000000"/>
    <w:embedRegular r:id="rId4" w:fontKey="{74965E9C-73FD-45BF-99B0-8F2569EC1E79}"/>
    <w:embedBold r:id="rId5" w:fontKey="{B17A182A-BFA9-4AA8-9F02-1FCF722BBAE8}"/>
    <w:embedItalic r:id="rId6" w:fontKey="{26D2B6A4-843B-4D3D-9666-8FE0E55D3FF8}"/>
  </w:font>
  <w:font w:name="Cambria">
    <w:panose1 w:val="02040503050406030204"/>
    <w:charset w:val="00"/>
    <w:family w:val="roman"/>
    <w:pitch w:val="variable"/>
    <w:sig w:usb0="E00006FF" w:usb1="420024FF" w:usb2="02000000" w:usb3="00000000" w:csb0="0000019F" w:csb1="00000000"/>
    <w:embedRegular r:id="rId7" w:fontKey="{791F2129-9F9C-47F1-9F78-A62317447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A5" w:rsidRDefault="00471CA5">
    <w:pPr>
      <w:widowControl w:val="0"/>
      <w:pBdr>
        <w:top w:val="nil"/>
        <w:left w:val="nil"/>
        <w:bottom w:val="nil"/>
        <w:right w:val="nil"/>
        <w:between w:val="nil"/>
      </w:pBdr>
      <w:spacing w:line="276" w:lineRule="auto"/>
      <w:ind w:firstLine="0"/>
      <w:jc w:val="left"/>
      <w:rPr>
        <w:rFonts w:ascii="Calibri" w:eastAsia="Calibri" w:hAnsi="Calibri" w:cs="Calibri"/>
        <w:color w:val="000000"/>
        <w:sz w:val="20"/>
        <w:szCs w:val="20"/>
      </w:rPr>
    </w:pPr>
  </w:p>
  <w:p w:rsidR="00471CA5" w:rsidRDefault="00471CA5">
    <w:pPr>
      <w:pBdr>
        <w:top w:val="nil"/>
        <w:left w:val="nil"/>
        <w:bottom w:val="nil"/>
        <w:right w:val="nil"/>
        <w:between w:val="nil"/>
      </w:pBdr>
      <w:tabs>
        <w:tab w:val="center" w:pos="4680"/>
        <w:tab w:val="right" w:pos="9360"/>
      </w:tabs>
      <w:ind w:firstLine="0"/>
      <w:jc w:val="both"/>
      <w:rPr>
        <w:rFonts w:ascii="Calibri" w:eastAsia="Calibri" w:hAnsi="Calibri" w:cs="Calibri"/>
        <w:color w:val="000000"/>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A5" w:rsidRDefault="00471CA5">
    <w:pPr>
      <w:widowControl w:val="0"/>
      <w:pBdr>
        <w:top w:val="nil"/>
        <w:left w:val="nil"/>
        <w:bottom w:val="nil"/>
        <w:right w:val="nil"/>
        <w:between w:val="nil"/>
      </w:pBdr>
      <w:spacing w:line="276" w:lineRule="auto"/>
      <w:ind w:firstLine="0"/>
      <w:jc w:val="left"/>
      <w:rPr>
        <w:i/>
        <w:iCs/>
        <w:color w:val="000000"/>
        <w:sz w:val="20"/>
        <w:szCs w:val="20"/>
      </w:rPr>
    </w:pPr>
  </w:p>
  <w:p w:rsidR="00471CA5" w:rsidRDefault="00471CA5">
    <w:pPr>
      <w:pBdr>
        <w:top w:val="nil"/>
        <w:left w:val="nil"/>
        <w:bottom w:val="nil"/>
        <w:right w:val="nil"/>
        <w:between w:val="nil"/>
      </w:pBdr>
      <w:tabs>
        <w:tab w:val="center" w:pos="4680"/>
        <w:tab w:val="right" w:pos="9360"/>
      </w:tabs>
      <w:ind w:firstLine="0"/>
      <w:jc w:val="both"/>
      <w:rPr>
        <w:rFonts w:ascii="Calibri" w:eastAsia="Calibri" w:hAnsi="Calibri" w:cs="Calibri"/>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p w:rsidR="00471CA5" w:rsidRDefault="00471C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58C" w:rsidRDefault="006D758C">
      <w:r>
        <w:separator/>
      </w:r>
    </w:p>
  </w:footnote>
  <w:footnote w:type="continuationSeparator" w:id="0">
    <w:p w:rsidR="006D758C" w:rsidRDefault="006D7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A5" w:rsidRDefault="00471CA5">
    <w:pPr>
      <w:pBdr>
        <w:top w:val="nil"/>
        <w:left w:val="nil"/>
        <w:bottom w:val="nil"/>
        <w:right w:val="nil"/>
        <w:between w:val="nil"/>
      </w:pBdr>
      <w:tabs>
        <w:tab w:val="center" w:pos="4680"/>
        <w:tab w:val="right" w:pos="9360"/>
      </w:tabs>
      <w:ind w:firstLine="0"/>
      <w:jc w:val="left"/>
      <w:rPr>
        <w:i/>
        <w:iCs/>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193CB0"/>
    <w:multiLevelType w:val="multilevel"/>
    <w:tmpl w:val="DAC2EA5E"/>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CA5"/>
    <w:rsid w:val="000C7DD4"/>
    <w:rsid w:val="00471CA5"/>
    <w:rsid w:val="006D758C"/>
    <w:rsid w:val="008B4695"/>
    <w:rsid w:val="00A60AAA"/>
    <w:rsid w:val="00B54ECC"/>
    <w:rsid w:val="00BB1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7FD5DD-7940-4BD9-9C9A-0D636634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18"/>
        <w:szCs w:val="18"/>
        <w:lang w:val="en-US" w:eastAsia="en-US" w:bidi="ar-SA"/>
      </w:rPr>
    </w:rPrDefault>
    <w:pPrDefault>
      <w:pPr>
        <w:ind w:firstLine="567"/>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nstitusi"/>
    <w:qFormat/>
    <w:rsid w:val="009E3421"/>
    <w:rPr>
      <w:szCs w:val="22"/>
    </w:rPr>
  </w:style>
  <w:style w:type="paragraph" w:styleId="Heading1">
    <w:name w:val="heading 1"/>
    <w:aliases w:val="Judul"/>
    <w:next w:val="Normal"/>
    <w:link w:val="Heading1Char"/>
    <w:autoRedefine/>
    <w:uiPriority w:val="9"/>
    <w:qFormat/>
    <w:rsid w:val="006E2DE7"/>
    <w:pPr>
      <w:keepNext/>
      <w:spacing w:before="120" w:after="60"/>
      <w:outlineLvl w:val="0"/>
    </w:pPr>
    <w:rPr>
      <w:b/>
      <w:bCs/>
      <w:kern w:val="32"/>
      <w:sz w:val="32"/>
      <w:szCs w:val="32"/>
    </w:rPr>
  </w:style>
  <w:style w:type="paragraph" w:styleId="Heading2">
    <w:name w:val="heading 2"/>
    <w:aliases w:val="Abstrak"/>
    <w:basedOn w:val="Normal"/>
    <w:next w:val="Normal"/>
    <w:link w:val="Heading2Char"/>
    <w:uiPriority w:val="9"/>
    <w:unhideWhenUsed/>
    <w:qFormat/>
    <w:rsid w:val="00D243CC"/>
    <w:pPr>
      <w:keepNext/>
      <w:spacing w:before="240" w:after="60"/>
      <w:outlineLvl w:val="1"/>
    </w:pPr>
    <w:rPr>
      <w:b/>
      <w:bCs/>
      <w:i/>
      <w:iCs/>
      <w:sz w:val="22"/>
      <w:szCs w:val="28"/>
    </w:rPr>
  </w:style>
  <w:style w:type="paragraph" w:styleId="Heading3">
    <w:name w:val="heading 3"/>
    <w:aliases w:val="IsiAbstrak"/>
    <w:next w:val="Normal"/>
    <w:link w:val="Heading3Char"/>
    <w:autoRedefine/>
    <w:uiPriority w:val="9"/>
    <w:unhideWhenUsed/>
    <w:qFormat/>
    <w:rsid w:val="00FE34B3"/>
    <w:pPr>
      <w:keepNext/>
      <w:ind w:left="1134" w:hanging="1134"/>
      <w:jc w:val="both"/>
      <w:outlineLvl w:val="2"/>
    </w:pPr>
    <w:rPr>
      <w:bCs/>
      <w:sz w:val="22"/>
      <w:szCs w:val="22"/>
    </w:rPr>
  </w:style>
  <w:style w:type="paragraph" w:styleId="Heading4">
    <w:name w:val="heading 4"/>
    <w:aliases w:val="Isi Makalah"/>
    <w:next w:val="Normal"/>
    <w:link w:val="Heading4Char"/>
    <w:autoRedefine/>
    <w:uiPriority w:val="9"/>
    <w:unhideWhenUsed/>
    <w:rsid w:val="009E3421"/>
    <w:pPr>
      <w:keepNext/>
      <w:keepLines/>
      <w:spacing w:before="200"/>
      <w:outlineLvl w:val="3"/>
    </w:pPr>
    <w:rPr>
      <w:bCs/>
      <w:iCs/>
      <w:sz w:val="22"/>
      <w:szCs w:val="22"/>
    </w:rPr>
  </w:style>
  <w:style w:type="paragraph" w:styleId="Heading5">
    <w:name w:val="heading 5"/>
    <w:basedOn w:val="Normal"/>
    <w:next w:val="Normal"/>
    <w:pPr>
      <w:keepNext/>
      <w:keepLines/>
      <w:spacing w:before="220" w:after="40"/>
      <w:outlineLvl w:val="4"/>
    </w:pPr>
    <w:rPr>
      <w:b/>
      <w:bCs/>
      <w:sz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aliases w:val="Sub Bab,Section"/>
    <w:next w:val="Normal"/>
    <w:link w:val="TitleChar"/>
    <w:autoRedefine/>
    <w:uiPriority w:val="10"/>
    <w:qFormat/>
    <w:rsid w:val="006964BA"/>
    <w:pPr>
      <w:jc w:val="both"/>
      <w:outlineLvl w:val="0"/>
    </w:pPr>
    <w:rPr>
      <w:b/>
      <w:bCs/>
      <w:iCs/>
      <w:kern w:val="28"/>
      <w:sz w:val="22"/>
      <w:szCs w:val="32"/>
    </w:rPr>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rsid w:val="007329B4"/>
    <w:pPr>
      <w:tabs>
        <w:tab w:val="center" w:pos="4680"/>
        <w:tab w:val="right" w:pos="9360"/>
      </w:tabs>
    </w:pPr>
    <w:rPr>
      <w:rFonts w:ascii="Calibri" w:hAnsi="Calibri"/>
      <w:sz w:val="22"/>
    </w:rPr>
  </w:style>
  <w:style w:type="character" w:customStyle="1" w:styleId="FooterChar">
    <w:name w:val="Footer Char"/>
    <w:link w:val="Footer"/>
    <w:uiPriority w:val="99"/>
    <w:rsid w:val="007329B4"/>
    <w:rPr>
      <w:sz w:val="22"/>
      <w:szCs w:val="22"/>
    </w:rPr>
  </w:style>
  <w:style w:type="table" w:styleId="TableGrid">
    <w:name w:val="Table Grid"/>
    <w:basedOn w:val="TableNormal"/>
    <w:rsid w:val="00732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Judul Char"/>
    <w:link w:val="Heading1"/>
    <w:uiPriority w:val="9"/>
    <w:rsid w:val="006E2DE7"/>
    <w:rPr>
      <w:rFonts w:ascii="Times New Roman" w:eastAsia="Times New Roman" w:hAnsi="Times New Roman"/>
      <w:b/>
      <w:bCs/>
      <w:kern w:val="32"/>
      <w:sz w:val="32"/>
      <w:szCs w:val="32"/>
      <w:lang w:bidi="ar-SA"/>
    </w:rPr>
  </w:style>
  <w:style w:type="paragraph" w:styleId="Subtitle">
    <w:name w:val="Subtitle"/>
    <w:basedOn w:val="Normal"/>
    <w:next w:val="Normal"/>
    <w:link w:val="SubtitleChar"/>
    <w:pPr>
      <w:pBdr>
        <w:top w:val="nil"/>
        <w:left w:val="nil"/>
        <w:bottom w:val="nil"/>
        <w:right w:val="nil"/>
        <w:between w:val="nil"/>
      </w:pBdr>
      <w:ind w:firstLine="0"/>
      <w:jc w:val="both"/>
    </w:pPr>
    <w:rPr>
      <w:i/>
      <w:iCs/>
      <w:color w:val="000000"/>
      <w:sz w:val="20"/>
      <w:szCs w:val="20"/>
    </w:rPr>
  </w:style>
  <w:style w:type="character" w:customStyle="1" w:styleId="SubtitleChar">
    <w:name w:val="Subtitle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Abstrak Char"/>
    <w:link w:val="Heading2"/>
    <w:uiPriority w:val="9"/>
    <w:rsid w:val="00D243CC"/>
    <w:rPr>
      <w:rFonts w:ascii="Times New Roman" w:eastAsia="Times New Roman" w:hAnsi="Times New Roman"/>
      <w:b/>
      <w:bCs/>
      <w:i/>
      <w:iCs/>
      <w:sz w:val="22"/>
      <w:szCs w:val="28"/>
    </w:rPr>
  </w:style>
  <w:style w:type="character" w:customStyle="1" w:styleId="TitleChar">
    <w:name w:val="Title Char"/>
    <w:aliases w:val="Sub Bab Char,Section Char"/>
    <w:link w:val="Title"/>
    <w:uiPriority w:val="10"/>
    <w:rsid w:val="006964BA"/>
    <w:rPr>
      <w:rFonts w:ascii="Times New Roman" w:eastAsia="Times New Roman" w:hAnsi="Times New Roman"/>
      <w:b/>
      <w:bCs/>
      <w:iCs/>
      <w:kern w:val="28"/>
      <w:sz w:val="22"/>
      <w:szCs w:val="32"/>
      <w:lang w:bidi="ar-SA"/>
    </w:rPr>
  </w:style>
  <w:style w:type="character" w:styleId="Emphasis">
    <w:name w:val="Emphasis"/>
    <w:uiPriority w:val="20"/>
    <w:qFormat/>
    <w:rsid w:val="006C13CE"/>
    <w:rPr>
      <w:i/>
      <w:iCs/>
    </w:rPr>
  </w:style>
  <w:style w:type="paragraph" w:customStyle="1" w:styleId="Penulis">
    <w:name w:val="Penulis"/>
    <w:next w:val="Normal"/>
    <w:autoRedefine/>
    <w:qFormat/>
    <w:rsid w:val="00F21957"/>
    <w:rPr>
      <w:rFonts w:cs="Arial"/>
      <w:b/>
      <w:iCs/>
      <w:sz w:val="22"/>
      <w:szCs w:val="22"/>
    </w:rPr>
  </w:style>
  <w:style w:type="paragraph" w:styleId="Caption">
    <w:name w:val="caption"/>
    <w:next w:val="Normal"/>
    <w:uiPriority w:val="35"/>
    <w:unhideWhenUsed/>
    <w:qFormat/>
    <w:rsid w:val="00E35557"/>
    <w:rPr>
      <w:bCs/>
    </w:rPr>
  </w:style>
  <w:style w:type="character" w:customStyle="1" w:styleId="Heading3Char">
    <w:name w:val="Heading 3 Char"/>
    <w:aliases w:val="IsiAbstrak Char"/>
    <w:link w:val="Heading3"/>
    <w:uiPriority w:val="9"/>
    <w:rsid w:val="00FE34B3"/>
    <w:rPr>
      <w:rFonts w:ascii="Times New Roman" w:eastAsia="Times New Roman" w:hAnsi="Times New Roman"/>
      <w:bCs/>
      <w:sz w:val="22"/>
      <w:szCs w:val="22"/>
    </w:rPr>
  </w:style>
  <w:style w:type="character" w:styleId="Strong">
    <w:name w:val="Strong"/>
    <w:qFormat/>
    <w:rsid w:val="005369E9"/>
    <w:rPr>
      <w:rFonts w:cs="Times New Roman"/>
      <w:b/>
      <w:bCs/>
    </w:rPr>
  </w:style>
  <w:style w:type="paragraph" w:customStyle="1" w:styleId="references">
    <w:name w:val="references"/>
    <w:rsid w:val="005369E9"/>
    <w:pPr>
      <w:numPr>
        <w:numId w:val="1"/>
      </w:numPr>
      <w:spacing w:after="40" w:line="180" w:lineRule="exact"/>
      <w:jc w:val="both"/>
    </w:pPr>
    <w:rPr>
      <w:rFonts w:eastAsia="SimSu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ascii="Tahoma" w:hAnsi="Tahoma"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Isi Makalah Char"/>
    <w:basedOn w:val="DefaultParagraphFont"/>
    <w:link w:val="Heading4"/>
    <w:uiPriority w:val="9"/>
    <w:rsid w:val="009E3421"/>
    <w:rPr>
      <w:rFonts w:ascii="Times New Roman" w:eastAsia="Times New Roman" w:hAnsi="Times New Roman"/>
      <w:bCs/>
      <w:iCs/>
      <w:sz w:val="22"/>
      <w:szCs w:val="22"/>
      <w:lang w:val="en-US" w:eastAsia="en-US" w:bidi="ar-SA"/>
    </w:rPr>
  </w:style>
  <w:style w:type="paragraph" w:customStyle="1" w:styleId="isiabstrak">
    <w:name w:val="isi abstrak"/>
    <w:next w:val="Normal"/>
    <w:rsid w:val="00A761AD"/>
    <w:pPr>
      <w:jc w:val="both"/>
    </w:pPr>
    <w:rPr>
      <w:rFonts w:cs="Arial"/>
      <w:i/>
      <w:iCs/>
      <w:sz w:val="22"/>
      <w:szCs w:val="22"/>
    </w:rPr>
  </w:style>
  <w:style w:type="paragraph" w:styleId="IntenseQuote">
    <w:name w:val="Intense Quote"/>
    <w:basedOn w:val="Normal"/>
    <w:next w:val="Normal"/>
    <w:link w:val="IntenseQuoteChar"/>
    <w:uiPriority w:val="30"/>
    <w:qFormat/>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qFormat/>
    <w:rsid w:val="0013425F"/>
    <w:rPr>
      <w:smallCaps/>
      <w:color w:val="C0504D"/>
      <w:u w:val="single"/>
    </w:rPr>
  </w:style>
  <w:style w:type="paragraph" w:customStyle="1" w:styleId="IsiArtikel">
    <w:name w:val="Isi Artikel"/>
    <w:basedOn w:val="ListParagraph"/>
    <w:link w:val="IsiArtikelChar"/>
    <w:qFormat/>
    <w:rsid w:val="0013425F"/>
    <w:pPr>
      <w:spacing w:before="120"/>
      <w:ind w:left="0" w:firstLine="720"/>
      <w:jc w:val="both"/>
    </w:pPr>
    <w:rPr>
      <w:sz w:val="22"/>
    </w:rPr>
  </w:style>
  <w:style w:type="character" w:customStyle="1" w:styleId="IsiArtikelChar">
    <w:name w:val="Isi Artikel Char"/>
    <w:basedOn w:val="DefaultParagraphFont"/>
    <w:link w:val="IsiArtikel"/>
    <w:rsid w:val="0013425F"/>
    <w:rPr>
      <w:rFonts w:ascii="Times New Roman" w:eastAsia="Calibri" w:hAnsi="Times New Roman" w:cs="Times New Roman"/>
      <w:sz w:val="22"/>
      <w:szCs w:val="22"/>
    </w:rPr>
  </w:style>
  <w:style w:type="paragraph" w:styleId="ListParagraph">
    <w:name w:val="List Paragraph"/>
    <w:basedOn w:val="Normal"/>
    <w:uiPriority w:val="34"/>
    <w:qFormat/>
    <w:rsid w:val="0013425F"/>
    <w:pPr>
      <w:ind w:left="720"/>
      <w:contextualSpacing/>
    </w:pPr>
  </w:style>
  <w:style w:type="paragraph" w:customStyle="1" w:styleId="TFReferencesSection">
    <w:name w:val="TF_References_Section"/>
    <w:basedOn w:val="Normal"/>
    <w:rsid w:val="00F23EE8"/>
    <w:pPr>
      <w:spacing w:line="150" w:lineRule="exact"/>
      <w:ind w:left="346" w:hanging="346"/>
      <w:jc w:val="both"/>
    </w:pPr>
    <w:rPr>
      <w:rFonts w:ascii="Times" w:hAnsi="Times"/>
      <w:sz w:val="15"/>
      <w:szCs w:val="20"/>
    </w:rPr>
  </w:style>
  <w:style w:type="character" w:styleId="CommentReference">
    <w:name w:val="annotation reference"/>
    <w:basedOn w:val="DefaultParagraphFont"/>
    <w:uiPriority w:val="99"/>
    <w:semiHidden/>
    <w:unhideWhenUsed/>
    <w:rsid w:val="00FD093C"/>
    <w:rPr>
      <w:sz w:val="16"/>
      <w:szCs w:val="16"/>
    </w:rPr>
  </w:style>
  <w:style w:type="paragraph" w:styleId="CommentText">
    <w:name w:val="annotation text"/>
    <w:basedOn w:val="Normal"/>
    <w:link w:val="CommentTextChar"/>
    <w:uiPriority w:val="99"/>
    <w:semiHidden/>
    <w:unhideWhenUsed/>
    <w:rsid w:val="00FD093C"/>
    <w:rPr>
      <w:sz w:val="20"/>
      <w:szCs w:val="20"/>
    </w:rPr>
  </w:style>
  <w:style w:type="character" w:customStyle="1" w:styleId="CommentTextChar">
    <w:name w:val="Comment Text Char"/>
    <w:basedOn w:val="DefaultParagraphFont"/>
    <w:link w:val="CommentText"/>
    <w:uiPriority w:val="99"/>
    <w:semiHidden/>
    <w:rsid w:val="00FD09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D093C"/>
    <w:rPr>
      <w:b/>
      <w:bCs/>
    </w:rPr>
  </w:style>
  <w:style w:type="character" w:customStyle="1" w:styleId="CommentSubjectChar">
    <w:name w:val="Comment Subject Char"/>
    <w:basedOn w:val="CommentTextChar"/>
    <w:link w:val="CommentSubject"/>
    <w:uiPriority w:val="99"/>
    <w:semiHidden/>
    <w:rsid w:val="00FD093C"/>
    <w:rPr>
      <w:rFonts w:ascii="Times New Roman" w:hAnsi="Times New Roman"/>
      <w:b/>
      <w:bCs/>
    </w:rPr>
  </w:style>
  <w:style w:type="paragraph" w:styleId="BodyText">
    <w:name w:val="Body Text"/>
    <w:basedOn w:val="Normal"/>
    <w:link w:val="BodyTextChar"/>
    <w:uiPriority w:val="1"/>
    <w:qFormat/>
    <w:rsid w:val="00C13157"/>
    <w:pPr>
      <w:widowControl w:val="0"/>
      <w:autoSpaceDE w:val="0"/>
      <w:autoSpaceDN w:val="0"/>
      <w:ind w:firstLine="0"/>
      <w:jc w:val="left"/>
    </w:pPr>
    <w:rPr>
      <w:sz w:val="24"/>
      <w:szCs w:val="24"/>
      <w:lang w:bidi="en-US"/>
    </w:rPr>
  </w:style>
  <w:style w:type="character" w:customStyle="1" w:styleId="BodyTextChar">
    <w:name w:val="Body Text Char"/>
    <w:basedOn w:val="DefaultParagraphFont"/>
    <w:link w:val="BodyText"/>
    <w:uiPriority w:val="1"/>
    <w:rsid w:val="00C13157"/>
    <w:rPr>
      <w:rFonts w:ascii="Times New Roman" w:eastAsia="Times New Roman" w:hAnsi="Times New Roman"/>
      <w:sz w:val="24"/>
      <w:szCs w:val="24"/>
      <w:lang w:bidi="en-US"/>
    </w:rPr>
  </w:style>
  <w:style w:type="paragraph" w:styleId="NormalWeb">
    <w:name w:val="Normal (Web)"/>
    <w:basedOn w:val="Normal"/>
    <w:uiPriority w:val="99"/>
    <w:unhideWhenUsed/>
    <w:rsid w:val="00451D2D"/>
    <w:pPr>
      <w:spacing w:before="100" w:beforeAutospacing="1" w:after="100" w:afterAutospacing="1"/>
      <w:ind w:firstLine="0"/>
      <w:jc w:val="left"/>
    </w:pPr>
    <w:rPr>
      <w:sz w:val="24"/>
      <w:szCs w:val="24"/>
    </w:rPr>
  </w:style>
  <w:style w:type="character" w:customStyle="1" w:styleId="UnresolvedMention">
    <w:name w:val="Unresolved Mention"/>
    <w:basedOn w:val="DefaultParagraphFont"/>
    <w:uiPriority w:val="99"/>
    <w:semiHidden/>
    <w:unhideWhenUsed/>
    <w:rsid w:val="00D2341E"/>
    <w:rPr>
      <w:color w:val="605E5C"/>
      <w:shd w:val="clear" w:color="auto" w:fill="E1DFDD"/>
    </w:rPr>
  </w:style>
  <w:style w:type="table" w:customStyle="1" w:styleId="a">
    <w:basedOn w:val="TableNormal"/>
    <w:tblPr>
      <w:tblStyleRowBandSize w:val="1"/>
      <w:tblStyleColBandSize w:val="1"/>
      <w:tblInd w:w="0" w:type="dxa"/>
      <w:tblCellMar>
        <w:top w:w="72" w:type="dxa"/>
        <w:left w:w="115" w:type="dxa"/>
        <w:bottom w:w="72" w:type="dxa"/>
        <w:right w:w="115" w:type="dxa"/>
      </w:tblCellMar>
    </w:tblPr>
  </w:style>
  <w:style w:type="table" w:customStyle="1" w:styleId="a0">
    <w:basedOn w:val="TableNormal"/>
    <w:tblPr>
      <w:tblStyleRowBandSize w:val="1"/>
      <w:tblStyleColBandSize w:val="1"/>
      <w:tblInd w:w="0" w:type="dxa"/>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aJxcPgYX5hzKYVKY3QP+EE3L+A==">CgMxLjA4AHIhMU5KRXZ6d3VicEpVeHJqUXNSaG9OVkpGNzlxRVJYbnZR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1BCDCF-A94E-4B64-8A0D-D4F833C19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39394</Words>
  <Characters>224548</Characters>
  <Application>Microsoft Office Word</Application>
  <DocSecurity>0</DocSecurity>
  <Lines>1871</Lines>
  <Paragraphs>526</Paragraphs>
  <ScaleCrop>false</ScaleCrop>
  <Company/>
  <LinksUpToDate>false</LinksUpToDate>
  <CharactersWithSpaces>263416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DPPM</dc:creator>
  <cp:lastModifiedBy>Reviewer</cp:lastModifiedBy>
  <cp:revision>5</cp:revision>
  <dcterms:created xsi:type="dcterms:W3CDTF">2021-10-30T22:12:00Z</dcterms:created>
  <dcterms:modified xsi:type="dcterms:W3CDTF">2025-12-29T03:24:00Z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http://csl.mendeley.com/styles/726968001/structural-control-and-health-monitoring</vt:lpwstr>
  </property>
  <property fmtid="{D5CDD505-2E9C-101B-9397-08002B2CF9AE}" pid="17" name="Mendeley Recent Style Name 7_1">
    <vt:lpwstr>Narra J - editor S01</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92b2a175-323e-30dc-9017-9646f47f811e</vt:lpwstr>
  </property>
</Properties>
</file>