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F62FB">
      <w:pPr>
        <w:spacing w:line="240" w:lineRule="auto"/>
        <w:jc w:val="center"/>
        <w:rPr>
          <w:rFonts w:hint="default" w:ascii="Garamond" w:hAnsi="Garamond" w:cs="Garamond"/>
          <w:b/>
          <w:bCs/>
          <w:sz w:val="32"/>
          <w:szCs w:val="32"/>
          <w:lang w:val="en-US"/>
        </w:rPr>
      </w:pPr>
      <w:r>
        <w:rPr>
          <w:rFonts w:hint="default" w:ascii="Garamond" w:hAnsi="Garamond" w:cs="Garamond"/>
          <w:b/>
          <w:bCs/>
          <w:sz w:val="32"/>
          <w:szCs w:val="32"/>
          <w:lang w:val="en-US"/>
        </w:rPr>
        <w:t>Entrepreneurial Potentials of Tourism Villages in Bantul Regency, Yogyakarta</w:t>
      </w:r>
    </w:p>
    <w:p w14:paraId="25466F6E">
      <w:pPr>
        <w:spacing w:line="240" w:lineRule="auto"/>
        <w:jc w:val="center"/>
        <w:rPr>
          <w:rFonts w:hint="default" w:ascii="Garamond" w:hAnsi="Garamond" w:cs="Garamond"/>
          <w:sz w:val="22"/>
          <w:szCs w:val="22"/>
          <w:lang w:val="en-US"/>
        </w:rPr>
      </w:pPr>
    </w:p>
    <w:p w14:paraId="0A4E16DE">
      <w:pPr>
        <w:spacing w:line="240" w:lineRule="auto"/>
        <w:jc w:val="center"/>
        <w:rPr>
          <w:rFonts w:hint="default" w:ascii="Garamond" w:hAnsi="Garamond" w:cs="Garamond"/>
          <w:b/>
          <w:bCs/>
          <w:sz w:val="24"/>
          <w:szCs w:val="24"/>
          <w:lang w:val="en-US"/>
        </w:rPr>
      </w:pPr>
      <w:r>
        <w:rPr>
          <w:rFonts w:hint="default" w:ascii="Garamond" w:hAnsi="Garamond" w:cs="Garamond"/>
          <w:b/>
          <w:bCs/>
          <w:sz w:val="24"/>
          <w:szCs w:val="24"/>
          <w:lang w:val="en-US"/>
        </w:rPr>
        <w:t>Ajie Wicaksono</w:t>
      </w:r>
      <w:r>
        <w:rPr>
          <w:rFonts w:hint="default" w:ascii="Garamond" w:hAnsi="Garamond" w:cs="Garamond"/>
          <w:b/>
          <w:bCs/>
          <w:sz w:val="24"/>
          <w:szCs w:val="24"/>
          <w:lang w:val="en-US"/>
        </w:rPr>
        <w:drawing>
          <wp:inline distT="0" distB="0" distL="114300" distR="114300">
            <wp:extent cx="96520" cy="96520"/>
            <wp:effectExtent l="0" t="0" r="10160" b="10160"/>
            <wp:docPr id="1" name="Picture 1" descr="ORCID_iD.sv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CID_iD.svg"/>
                    <pic:cNvPicPr>
                      <a:picLocks noChangeAspect="1"/>
                    </pic:cNvPicPr>
                  </pic:nvPicPr>
                  <pic:blipFill>
                    <a:blip r:embed="rId7"/>
                    <a:stretch>
                      <a:fillRect/>
                    </a:stretch>
                  </pic:blipFill>
                  <pic:spPr>
                    <a:xfrm>
                      <a:off x="0" y="0"/>
                      <a:ext cx="96520" cy="96520"/>
                    </a:xfrm>
                    <a:prstGeom prst="rect">
                      <a:avLst/>
                    </a:prstGeom>
                  </pic:spPr>
                </pic:pic>
              </a:graphicData>
            </a:graphic>
          </wp:inline>
        </w:drawing>
      </w:r>
    </w:p>
    <w:p w14:paraId="0C37BD06">
      <w:pPr>
        <w:spacing w:line="240" w:lineRule="auto"/>
        <w:jc w:val="center"/>
        <w:rPr>
          <w:rFonts w:hint="default" w:ascii="Garamond" w:hAnsi="Garamond" w:cs="Garamond"/>
          <w:b/>
          <w:bCs/>
          <w:sz w:val="24"/>
          <w:szCs w:val="24"/>
          <w:lang w:val="en-US"/>
        </w:rPr>
      </w:pPr>
      <w:r>
        <w:rPr>
          <w:rFonts w:hint="default" w:ascii="Garamond" w:hAnsi="Garamond" w:cs="Garamond"/>
          <w:b/>
          <w:bCs/>
          <w:sz w:val="24"/>
          <w:szCs w:val="24"/>
          <w:lang w:val="en-US"/>
        </w:rPr>
        <w:t>Sekolah Tinggi Pariwisata Ambarrukmo (STIPRAM), Yogyakarta</w:t>
      </w:r>
      <w:bookmarkStart w:id="0" w:name="_GoBack"/>
      <w:bookmarkEnd w:id="0"/>
    </w:p>
    <w:p w14:paraId="06542BC6">
      <w:pPr>
        <w:spacing w:line="240" w:lineRule="auto"/>
        <w:jc w:val="center"/>
        <w:rPr>
          <w:rFonts w:hint="default" w:ascii="Garamond" w:hAnsi="Garamond" w:cs="Garamond"/>
          <w:b/>
          <w:bCs/>
          <w:i/>
          <w:iCs/>
          <w:sz w:val="24"/>
          <w:szCs w:val="24"/>
          <w:lang w:val="en-US"/>
        </w:rPr>
      </w:pPr>
      <w:r>
        <w:rPr>
          <w:rFonts w:hint="default" w:ascii="Garamond" w:hAnsi="Garamond" w:cs="Garamond"/>
          <w:b/>
          <w:bCs/>
          <w:i/>
          <w:iCs/>
          <w:sz w:val="24"/>
          <w:szCs w:val="24"/>
          <w:lang w:val="en-US"/>
        </w:rPr>
        <w:t xml:space="preserve">Email: </w:t>
      </w:r>
      <w:r>
        <w:rPr>
          <w:rFonts w:hint="default" w:ascii="Garamond" w:hAnsi="Garamond" w:cs="Garamond"/>
          <w:b/>
          <w:bCs/>
          <w:i/>
          <w:iCs/>
          <w:sz w:val="24"/>
          <w:szCs w:val="24"/>
          <w:lang w:val="en-US"/>
        </w:rPr>
        <w:fldChar w:fldCharType="begin"/>
      </w:r>
      <w:r>
        <w:rPr>
          <w:rFonts w:hint="default" w:ascii="Garamond" w:hAnsi="Garamond" w:cs="Garamond"/>
          <w:b/>
          <w:bCs/>
          <w:i/>
          <w:iCs/>
          <w:sz w:val="24"/>
          <w:szCs w:val="24"/>
          <w:lang w:val="en-US"/>
        </w:rPr>
        <w:instrText xml:space="preserve"> HYPERLINK "mailto:ajiewicaksono@stipram.ac.id" </w:instrText>
      </w:r>
      <w:r>
        <w:rPr>
          <w:rFonts w:hint="default" w:ascii="Garamond" w:hAnsi="Garamond" w:cs="Garamond"/>
          <w:b/>
          <w:bCs/>
          <w:i/>
          <w:iCs/>
          <w:sz w:val="24"/>
          <w:szCs w:val="24"/>
          <w:lang w:val="en-US"/>
        </w:rPr>
        <w:fldChar w:fldCharType="separate"/>
      </w:r>
      <w:r>
        <w:rPr>
          <w:rStyle w:val="13"/>
          <w:rFonts w:hint="default" w:ascii="Garamond" w:hAnsi="Garamond" w:cs="Garamond"/>
          <w:b/>
          <w:bCs/>
          <w:i/>
          <w:iCs/>
          <w:sz w:val="24"/>
          <w:szCs w:val="24"/>
          <w:lang w:val="en-US"/>
        </w:rPr>
        <w:t>ajiewicaksono@stipram.ac.id</w:t>
      </w:r>
      <w:r>
        <w:rPr>
          <w:rFonts w:hint="default" w:ascii="Garamond" w:hAnsi="Garamond" w:cs="Garamond"/>
          <w:b/>
          <w:bCs/>
          <w:i/>
          <w:iCs/>
          <w:sz w:val="24"/>
          <w:szCs w:val="24"/>
          <w:lang w:val="en-US"/>
        </w:rPr>
        <w:fldChar w:fldCharType="end"/>
      </w:r>
    </w:p>
    <w:p w14:paraId="32C354A6">
      <w:pPr>
        <w:spacing w:line="240" w:lineRule="auto"/>
        <w:rPr>
          <w:rFonts w:hint="default" w:ascii="Garamond" w:hAnsi="Garamond" w:cs="Garamond"/>
          <w:sz w:val="22"/>
          <w:szCs w:val="22"/>
          <w:lang w:val="en-US"/>
        </w:rPr>
      </w:pPr>
    </w:p>
    <w:p w14:paraId="301BAA9D">
      <w:pPr>
        <w:spacing w:line="240" w:lineRule="auto"/>
        <w:jc w:val="center"/>
        <w:rPr>
          <w:rFonts w:hint="default" w:ascii="Garamond" w:hAnsi="Garamond" w:cs="Garamond"/>
          <w:b/>
          <w:bCs/>
          <w:sz w:val="24"/>
          <w:szCs w:val="24"/>
          <w:lang w:val="en-US"/>
        </w:rPr>
      </w:pPr>
      <w:r>
        <w:rPr>
          <w:rFonts w:hint="default" w:ascii="Garamond" w:hAnsi="Garamond" w:cs="Garamond"/>
          <w:b/>
          <w:bCs/>
          <w:sz w:val="24"/>
          <w:szCs w:val="24"/>
          <w:lang w:val="en-US"/>
        </w:rPr>
        <w:t>ABSTRACT</w:t>
      </w:r>
    </w:p>
    <w:p w14:paraId="7700641D">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Tourism villages in Yogyakarta, Indonesia, promote economic diversification, cultural preservation, and community empowerment. However, research lacks connection between heritage and innovative business strategies, affecting livelihoods. This research aims to explore the connection between cultural heritage and innovative business strategies in tourism villages in Yogyakarta, Indonesia, focusing on sustainable livelihoods and entrepreneurial ecosystems. The study employed VOSviewer analysis and a systematic literature review to explore entrepreneurial potential in tourism villages in Bantul Regency, utilizing Scopus and Google Scholar databases by using Publish or Perish application. 41 research articles were derived after conducting PRISMA analysis with some inclusion and exclusion criteria. The results show that the network visualization shows a central hub of medium to large-sized nodes, including "village," "tourism," and "Bantul Regency." Five clusters are identified, with gaps in cross-cluster integration, government-economic nexus, and capacity building metrics. The study emphasizes the need for quantitative metrics on capacity-building effects and interdisciplinary integration between cultural studies, business innovation research, and public policy analysis. It also calls for methodological advancement in measurement instruments and evaluation frameworks for rural tourism entrepreneurship.</w:t>
      </w:r>
    </w:p>
    <w:p w14:paraId="68E9E8B6">
      <w:pPr>
        <w:spacing w:line="240" w:lineRule="auto"/>
        <w:rPr>
          <w:rFonts w:hint="default" w:ascii="Garamond" w:hAnsi="Garamond" w:cs="Garamond"/>
          <w:sz w:val="22"/>
          <w:szCs w:val="22"/>
          <w:lang w:val="en-US"/>
        </w:rPr>
      </w:pPr>
      <w:r>
        <w:rPr>
          <w:rFonts w:hint="default" w:ascii="Garamond" w:hAnsi="Garamond" w:cs="Garamond"/>
          <w:sz w:val="22"/>
          <w:szCs w:val="22"/>
          <w:lang w:val="en-US"/>
        </w:rPr>
        <w:t>Keywords: entrepreneurial potentials, tourism villages, Bantul regency, Yogyakarta.</w:t>
      </w:r>
    </w:p>
    <w:p w14:paraId="0869A0C0">
      <w:pPr>
        <w:spacing w:line="240" w:lineRule="auto"/>
        <w:rPr>
          <w:rFonts w:hint="default" w:ascii="Garamond" w:hAnsi="Garamond" w:cs="Garamond"/>
          <w:sz w:val="22"/>
          <w:szCs w:val="22"/>
          <w:lang w:val="en-US"/>
        </w:rPr>
      </w:pPr>
    </w:p>
    <w:p w14:paraId="1913C1C2">
      <w:pPr>
        <w:numPr>
          <w:ilvl w:val="0"/>
          <w:numId w:val="1"/>
        </w:numPr>
        <w:spacing w:line="240" w:lineRule="auto"/>
        <w:rPr>
          <w:rFonts w:hint="default" w:ascii="Garamond" w:hAnsi="Garamond" w:cs="Garamond"/>
          <w:b/>
          <w:bCs/>
          <w:sz w:val="22"/>
          <w:szCs w:val="22"/>
          <w:lang w:val="en-US"/>
        </w:rPr>
      </w:pPr>
      <w:r>
        <w:rPr>
          <w:rFonts w:hint="default" w:ascii="Garamond" w:hAnsi="Garamond" w:cs="Garamond"/>
          <w:b/>
          <w:bCs/>
          <w:sz w:val="22"/>
          <w:szCs w:val="22"/>
          <w:lang w:val="en-US"/>
        </w:rPr>
        <w:t>INTRODUCTION</w:t>
      </w:r>
    </w:p>
    <w:p w14:paraId="7A1763B2">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Tourism villages offer opportunities for economic diversification, cultural preservation, and community empowerment as a critical component of integrated development. Although the entrepreneurial opportunities in the Bantul Regency of Yogyakarta have yet to be fully explored, the region is home to a burgeoning tourism sector that is founded on a plethora of natural and cultural resources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{"citationID":"pleebxB6","properties":{"formattedCitation":"(Utami et al., 2023)","plainCitation":"(Utami et al., 2023)","noteIndex":0},"citationItems":[{"id":4969,"uris":["http://zotero.org/users/16002547/items/EEEUPUIJ"],"itemData":{"id":4969,"type":"article-journal","container-title":"Cogent Business &amp; Management","DOI":"10.1080/23311975.2023.2180845","ISSN":"2331-1975","issue":"1","journalAbbreviation":"Cogent Business &amp; Management","language":"en","page":"2180845","source":"DOI.org (Crossref)","title":"Rural tourism entrepreneurship success factors for sustainable tourism village: Evidence from Indonesia","title-short":"Rural tourism entrepreneurship success factors for sustainable tourism village","volume":"10","author":[{"family":"Utami","given":"Dwiesty Dyah"},{"family":"Dhewanto","given":"Wawan"},{"family":"Lestari","given":"Yuliani Dwi"}],"issued":{"date-parts":[["2023",12,31]]}}}],"schema":"https://github.com/citation-style-language/schema/raw/master/csl-citation.json"}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(Utami et al., 2023)</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Studies have previously documented the significance of village leadership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{"citationID":"KUWzOcWo","properties":{"formattedCitation":"(Akmala Hadita &amp; Rashid, 2025)","plainCitation":"(Akmala Hadita &amp; Rashid, 2025)","noteIndex":0},"citationItems":[{"id":4971,"uris":["http://zotero.org/users/16002547/items/BN8CJU3G"],"itemData":{"id":4971,"type":"article-journal","abstract":"Religious tourism villages have the potential to significantly boost local economies and foster cultural preservation. However, effective development planning in these villages often requires active community participation and robust governance mechanisms. This study was conducted to determine whether transparency, accountability, communication and leadership can optimize community participation in religious tourism village development planning. The object of the research was determined in Parentas Village, Cigalontang District, Tasikmalaya. Regression analysis using moderating variables was chosen as the method of data analysis for this kind of quantitative research. The findings demonstrated that community involvement significantly and favorably affects village development planning. The influence of community involvement on village development planning can be moderated and strengthened by transparency, accountability, communication, and leadership. The results of this study show that in order to maximize community participation in tourism village development planning, transparency, accountability, communication, and village government leadership are crucial considerations. the importance of this research being carried out, by increase community participation so that planning for the development of parental religious tourism villages will be better with transparency, accountability, communication and leadership is moderating. This study uniquely integrates the moderating effects of transparency, accountability, communication, and leadership on community participation in village development planning. By focusing on these governance mechanisms, the research provides new insights into optimizing community involvement in the context of religious tourism village development.","container-title":"Journal of Nonformal Education","DOI":"10.15294/jone.v10i2.3209","ISSN":"2528-4541, 2442-532X","issue":"2","journalAbbreviation":"jone","license":"https://creativecommons.org/licenses/by/4.0","page":"239-250","source":"DOI.org (Crossref)","title":"Strengthening society participation on planning the development of a religious tourism village through transparency, accountability, communication and leadership","volume":"10","author":[{"literal":"Akmala Hadita"},{"family":"Rashid","given":"Salman"}],"issued":{"date-parts":[["2025",4,16]]}}}],"schema":"https://github.com/citation-style-language/schema/raw/master/csl-citation.json"}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(Akmala Hadita &amp; Rashid, 2025)</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civil society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{"citationID":"ZzIj3WeY","properties":{"formattedCitation":"(Pambudi et al., 2022; Widiartanto et al., 2022)","plainCitation":"(Pambudi et al., 2022; Widiartanto et al., 2022)","noteIndex":0},"citationItems":[{"id":4972,"uris":["http://zotero.org/users/16002547/items/U5RZQSTM"],"itemData":{"id":4972,"type":"article-journal","abstract":"This article explores the network governance in the development of the Podokoyo Tourism Village, Pasuruan Regency. This study aims to analyze the application of the elements of network governance, which include trust, network goal consensus, need for network-level competencies, the number of participants, outputs, and outcomes of tourism Village development. The study results identify three achievements during the Podokoyo Tourism Village development network, such as the success of having superior Village products, increasing the capacity of Podokoyo Village's human resources in tourism management, and receiving the title of Maslahat Village. Among the obstacles is the lacking role of government elements, particularly the Tourism and Culture Agency and Community and Village Empowerment Agency.","container-title":"Jurnal Perencanaan Pembangunan: The Indonesian Journal of Development Planning","DOI":"10.36574/jpp.v6i2.339","ISSN":"25980807, 26542625","issue":"2","journalAbbreviation":"jpp","page":"236-248","source":"DOI.org (Crossref)","title":"Network governance towards development policy of Podokoyo tourism village in Pasuruan regency","volume":"6","author":[{"family":"Pambudi","given":"Sulung Satriyo Irkham"},{"family":"Hakim","given":"Muhammad Luthfil"},{"family":"Lesmana","given":"Very Yudha"}],"issued":{"date-parts":[["2022",8,31]]}},"label":"page"},{"id":4974,"uris":["http://zotero.org/users/16002547/items/KTKFKVCN"],"itemData":{"id":4974,"type":"article-journal","abstract":"This study explores the role of social capital in developing local community-based tourism innovation villages. Social capital, including social networks, beliefs, norms of reciprocity, and local cultural values, ​​is a vital asset in various local community development programs. Social capital will be reflected in the community's ability to work together, generate awareness and commitment, a sense of belonging, and social solidarity, and create active participation in achieving common goals. Its presence and role in society are crucial for the success of community development goals and programs, including the eco-tourism development program. This study used a qualitative approach based on a case study located in Batang Regency, Central Java, and conducted in-depth interviews with selected informants. The results show that social capital encourages the ability and capability of local communities to work together and coordinate to contribute to the sustainability of ecotourism productivity significantly. In particular, social capital impacts the readiness and knowledge of local communities on tourist villages, socio-environment, and economy. A part from the active participation of the local community in planning, implementing, and maintaining the tourism village and planning strategies to initiate community action, is an important factor in the sustainability of ecotourism management.\nIn conclusion, several recommendations need to be proposed, including the cooperation of the local community with the Batang Regency Tourism and Culture Office. In addition to collaborating with private investors in order to develop tourism potential in Deswita Pandansari with a mutually beneficial cooperation pattern (mutual benefit). It is especially for the development of traditional arts in order to integrate local arts to support tourist destinations in Pandansari.","container-title":"Research Horizon","DOI":"10.54518/rh.2.5.2022.511-531","ISSN":"2807-9531, 2808-0696","issue":"5","journalAbbreviation":"RH","license":"https://creativecommons.org/licenses/by-sa/4.0/","page":"511-531","source":"DOI.org (Crossref)","title":"Role of social capital in community based ecotourism: A case of Batang district, Central Java, Indonesia","title-short":"Role of Social Capital in Community Based Ecotourism","volume":"2","author":[{"literal":"Widiartanto"},{"family":"Wahyudi","given":"Fendy Eko"},{"family":"Santoso","given":"R. Slamet Santoso"},{"literal":"Priyotomo"}],"issued":{"date-parts":[["2022",10,29]]}},"label":"page"}],"schema":"https://github.com/citation-style-language/schema/raw/master/csl-citation.json"}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(Pambudi et al., 2022; Widiartanto et al., 2022)</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participatory development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{"citationID":"mhkZgPqo","properties":{"formattedCitation":"(Thetsane, 2019)","plainCitation":"(Thetsane, 2019)","noteIndex":0},"citationItems":[{"id":4976,"uris":["http://zotero.org/users/16002547/items/GQWRFFAC"],"itemData":{"id":4976,"type":"article-journal","container-title":"ATHENS JOURNAL OF TOURISM","DOI":"10.30958/ajt.6-2-4","ISSN":"22418148","issue":"2","journalAbbreviation":"AJT","page":"123-140","source":"DOI.org (Crossref)","title":"Local community participation in tourism development: The case of Katse villages in Lesotho","title-short":"Local Community Participation in Tourism Development","volume":"6","author":[{"family":"Thetsane","given":"Regina M."}],"issued":{"date-parts":[["2019",4,30]]}}}],"schema":"https://github.com/citation-style-language/schema/raw/master/csl-citation.json"}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(Thetsane, 2019)</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and business model innovation in rural tourism entrepreneurship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{"citationID":"DTJGJIA6","properties":{"formattedCitation":"(Utami et al., 2023)","plainCitation":"(Utami et al., 2023)","noteIndex":0},"citationItems":[{"id":4969,"uris":["http://zotero.org/users/16002547/items/EEEUPUIJ"],"itemData":{"id":4969,"type":"article-journal","container-title":"Cogent Business &amp; Management","DOI":"10.1080/23311975.2023.2180845","ISSN":"2331-1975","issue":"1","journalAbbreviation":"Cogent Business &amp; Management","language":"en","page":"2180845","source":"DOI.org (Crossref)","title":"Rural tourism entrepreneurship success factors for sustainable tourism village: Evidence from Indonesia","title-short":"Rural tourism entrepreneurship success factors for sustainable tourism village","volume":"10","author":[{"family":"Utami","given":"Dwiesty Dyah"},{"family":"Dhewanto","given":"Wawan"},{"family":"Lestari","given":"Yuliani Dwi"}],"issued":{"date-parts":[["2023",12,31]]}}}],"schema":"https://github.com/citation-style-language/schema/raw/master/csl-citation.json"}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(Utami et al., 2023)</w:t>
      </w:r>
      <w:r>
        <w:rPr>
          <w:rFonts w:hint="default" w:ascii="Garamond" w:hAnsi="Garamond" w:cs="Garamond"/>
          <w:sz w:val="22"/>
          <w:szCs w:val="22"/>
          <w:lang w:val="en-US"/>
        </w:rPr>
        <w:fldChar w:fldCharType="end"/>
      </w:r>
      <w:r>
        <w:rPr>
          <w:rFonts w:hint="default" w:ascii="Garamond" w:hAnsi="Garamond" w:cs="Garamond"/>
          <w:sz w:val="22"/>
          <w:szCs w:val="22"/>
          <w:lang w:val="en-US"/>
        </w:rPr>
        <w:t>. However, there is a lack of research that establishes a connection between cultural heritage and innovative business strategies and evaluates the effects of governance systems on the livelihoods of households.</w:t>
      </w:r>
    </w:p>
    <w:p w14:paraId="679C49E4">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By integrating local culture, natural resources, and community participation, tourism villages in Indonesia serve as a critical focal point for rural development, advancing economic and socio-cultural development.  The 'Desa Wisata' concept is promoted by the Ministry of Tourism as a method of promoting sustainable self-employment and improving the well-being of the local populace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{"citationID":"Bsi2QWI7","properties":{"formattedCitation":"(Halim &amp; Ervina, 2021)","plainCitation":"(Halim &amp; Ervina, 2021)","noteIndex":0},"citationItems":[{"id":4978,"uris":["http://zotero.org/users/16002547/items/ECKQYX8U"],"itemData":{"id":4978,"type":"article-journal","abstract":"Abstract\n            This study is motivated by the number of tourist villages in Bali that do not care about sustainability and are not as promoted as eco-villages, instead deteriorating the natural environment due to its development, and aims to analyze the community and tourist perceptions on sustainable tourism in eco-villages of Sanur Kauh village in urban area and of Blimbingsari village in rural area. Differences among community are analyzed based on gender, stakeholder roles, age, and occupation variables, education, tourism conscious. Also, the differences among tourists were analyzed based on gender, origin, age, occupation, education, travel method, and travel urpose. For the two groups, differences in perceptions were analyzed based on the indicators of Attention to Environmental Burden (AEB) and Concern for Conservation Efforts (CCE) that construct the Perceptions of Sustainability questionnaire. The results found that there were significant differences between the Community and the Tourists in terms of AEB (F=26,561; p&lt;0,01), CCE (F=32,508; p&lt;0,01), and Perceptions of Sustainability (F=31,377; p&lt;0,01), and between the community and the community and tourists and tourists both in Sanur Kauh and Blimbingsari in terms of AEB (F = 113,490; p &lt;0.01), CCE (F = 96.540; p &lt;0.01), and Perception on sustainable tourism (F=111,294; p&lt;0,01). However, the difference between the community and tourists in both Sanur Kauh and Blimbingsari only occurred in terms of CCE (F=11.809; p&lt;0.01) and Perception of Sustainability (F=5.831; p&lt;0.05). Thus, the difference in perceptions of sustainable tourism influenced by the village’s location and environment. People and tourists in rural areas have better perception than those in urban areas.","container-title":"IOP Conference Series: Earth and Environmental Science","DOI":"10.1088/1755-1315/704/1/012036","ISSN":"1755-1307, 1755-1315","issue":"1","journalAbbreviation":"IOP Conf. Ser.: Earth Environ. Sci.","page":"012036","source":"DOI.org (Crossref)","title":"Comparative study: Perception on sustainable tourism of urban and rural eco-villages in Bali","title-short":"Comparative Study","volume":"704","author":[{"family":"Halim","given":"D K"},{"family":"Ervina","given":"E"}],"issued":{"date-parts":[["2021",3,1]]}}}],"schema":"https://github.com/citation-style-language/schema/raw/master/csl-citation.json"}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(Halim &amp; Ervina, 2021)</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The impact of entrepreneurship in the context of tourism villages is illustrated by the unique case of Bantul Regency in Yogyakarta Province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{"citationID":"PChc7MW0","properties":{"formattedCitation":"(Kusmantini et al., 2025; I. Rahman &amp; Hakim, 2024)","plainCitation":"(Kusmantini et al., 2025; I. Rahman &amp; Hakim, 2024)","noteIndex":0},"citationItems":[{"id":4979,"uris":["http://zotero.org/users/16002547/items/V39R7YUX"],"itemData":{"id":4979,"type":"article-journal","abstract":"This study aimed to empirically investigate the factors of social entrepreneurship - namely, social mission, social innovation, and the mediating role of social networks in achieving sustainable business development within developing tourist villages. The research employed a quantitative approach, focusing on 42 tourist villages in Bantul Regency. Data analysis was conducted using Partial Least Squares Structural Equation Modeling (PLS-SEM). The findings revealed that social missions and social networks significantly and positively impact sustainable business development. However, social innovation did not show a significant effect on sustainable business development. Notably, social networks positively and significantly mediated the relationship between social innovation and sustainable business development. This study has several limitations. Firstly, it measured only two factors and one mediator of social entrepreneurship in addressing sustainable business development. Future research could explore other elements of social entrepreneurship, such as risk-taking. Secondly, social networking was used as a mediating variable; future studies could expand on this by incorporating HR practices. The results of this study have implications for social entrepreneurs, emphasizing the creation of relevant social and economic value for individuals and teams by addressing social and environmental needs. This approach is essential for developing creative and innovative solutions that ensure social, economic, and environmental sustainability in both normal and abnormal ecological situations.","container-title":"Asian Management and Business Review","DOI":"10.20885/AMBR.vol5.iss1.art9","ISSN":"2775-202X","journalAbbreviation":"AMBR","license":"https://creativecommons.org/licenses/by-sa/4.0","page":"128-142","source":"DOI.org (Crossref)","title":"How do social entrepreneurship factors influence sustainable business development? The mediating role of social network","title-short":"How do social entrepreneurship factors influence sustainable business development?","author":[{"family":"Kusmantini","given":"Titik"},{"family":"Sutiono","given":"Heru Tri"},{"family":"Hartati","given":"Anis Siti"},{"family":"Robani","given":"Anidah"},{"family":"Diantoro","given":"Aris Kusumo"},{"family":"Rahmadati","given":"Ashila Metta"}],"issued":{"date-parts":[["2025",2,18]]}},"label":"page"},{"id":4980,"uris":["http://zotero.org/users/16002547/items/X7JPV8VU"],"itemData":{"id":4980,"type":"article-journal","abstract":"This research aims to examine how inclusive education, community empowerment, and digital transformation contribute to the development of a creative economy based on local wisdom in Indonesia, with a focus on Bantul Regency, Yogyakarta. Inclusive education, which is a primary concern in addressing social inclusion challenges, still shows low participation rates in Indonesia. Meanwhile, the presence of local communities in Indonesia, if supported by local governments and digital transformation, has the potential to open new opportunities in developing the creative economy with the utilization of digital technology to enhance reach and competitiveness. The research methodology employs a case study approach with qualitative methods, allowing for an in-depth understanding of the phenomena under investigation. Data were collected through library research and participant observations and then analyzed thematically. The research findings indicate that collaborative initiatives of local governments with stakeholders to develop locally-based tourism villages and the implementation of inclusive education in schools around these tourism villages have improved social inclusion and empowered the local economy. Active participation from various parties, such as local governments, communities, and social organizations, in managing and promoting tourism destinations has successfully increased collective income and community welfare. Through the adoption of digital technologies such as social media, online marketing, tour guide applications, and data management, tourism villages in Bantul can reach broader markets and enhance their competitiveness. As a result, not only is there an increase in economic welfare for local communities, but also an appreciation for local wisdom and traditional culture.","container-title":"BASKARA : Journal of Business and Entrepreneurship","DOI":"10.54268/baskara.v6i2.21629","ISSN":"2623-0089","issue":"2","journalAbbreviation":"BASKARA","license":"https://creativecommons.org/licenses/by-nc/4.0","page":"213-224","source":"DOI.org (Crossref)","title":"Development of creative economy based on local wisdom in the era of digital transformation through inclusive education and village community empowerment in Bantul Regency, Yogyakarta","volume":"6","author":[{"family":"Rahman","given":"Irhamni"},{"family":"Hakim","given":"Lucky Maulana"}],"issued":{"date-parts":[["2024",4,30]]}},"label":"page"}],"schema":"https://github.com/citation-style-language/schema/raw/master/csl-citation.json"}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(Kusmantini et al., 2025; I. Rahman &amp; Hakim, 2024)</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However, there is a discrepancy in the comprehension of the enablers and barriers to entrepreneurial opportunities in these villages. There is a tendency in the existing literature to focus on specific cases or general tourism development indicators, without an interdisciplinary coherent synthesis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{"citationID":"gVqXBxDP","properties":{"formattedCitation":"(Rahmadi &amp; Nugroho, 2022; Wijayanti &amp; Dewi, 2016)","plainCitation":"(Rahmadi &amp; Nugroho, 2022; Wijayanti &amp; Dewi, 2016)","noteIndex":0},"citationItems":[{"id":4984,"uris":["http://zotero.org/users/16002547/items/WNJTAC5X"],"itemData":{"id":4984,"type":"article-journal","abstract":"This study aims to create a pattern of tourist travel in Yogyakarta, especially in Bantul Regency with the approach of Complex Neighborhood, Destination Region Loop, and Chaining Loop. The method used in the preparation of this travel pattern is through a qualitative approach by using primary data and secondary data. The qualitative data (narrative) is then described, grouped, analyzed, and mapped to be made into an image/pattern that can describe a travel pattern. Primary data was obtained through surveys, observations, and interviews with tourism stakeholders. Meanwhile, secondary data was obtained from databases and statistical data available at the Bantul Tourism Office and Yogyakarta Special Region Tourism Office, final reports and the results of relevant activities/research, as well as various other academic references. The results showed that the most visited tourist destinations were Baru Beach, Goa Cemara Beach, Pandansari Beach, Warung Ndeso, Krebet Tourist Village, Tourist Village, Kasongan, Natadamar Mangunan Coffee Shop, Seribu Batu, Glam Camp Bukit Lintang Sewu Mangunan, Tourist Village Banyusumurup \n. \n \n.","container-title":"Technium Social Sciences Journal","DOI":"10.47577/tssj.v28i1.5876","ISSN":"2668-7798","journalAbbreviation":"TSSJ","license":"https://creativecommons.org/licenses/by/4.0","page":"607-620","source":"DOI.org (Crossref)","title":"Study of tourism travel patterns In Bantul Regency, Yogyakarta post pandemic COVID-19","volume":"28","author":[{"family":"Rahmadi","given":"Hari"},{"family":"Nugroho","given":"Setyo Prasiyono"}],"issued":{"date-parts":[["2022",2,9]]}},"label":"page"},{"id":4982,"uris":["http://zotero.org/users/16002547/items/N3PDH4XE"],"itemData":{"id":4982,"type":"paper-conference","container-title":"Proceedings of the Asia Tourism Forum. 2016 - the 12th Biennial Conference of Hospitality and Tourism Industry in Asia","DOI":"10.2991/atf-16.2016.24","event-place":"Bandung, Indonesia","event-title":"Asia Tourism Forum 2016 - the 12th Biennial Conference of Hospitality and Tourism Industry in Asia","ISBN":"978-94-6252-201-5","language":"en","publisher":"Atlantis Press","publisher-place":"Bandung, Indonesia","source":"DOI.org (Crossref)","title":"Analysis of the four pillars of tourism development planning in the tourism areas of Kretek, Bantul, Yogyakarta, Indonesia","URL":"http://www.atlantis-press.com/php/paper-details.php?id=25856853","author":[{"family":"Wijayanti","given":"Ani"},{"family":"Dewi","given":"Ike"}],"accessed":{"date-parts":[["2025",8,6]]},"issued":{"date-parts":[["2016"]]}},"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(Rahmadi &amp; Nugroho, 2022; Wijayanti &amp; Dewi, 2016)</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w:t>
      </w:r>
    </w:p>
    <w:p w14:paraId="4703DAFD">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Previous research has identified numerous issues, including the absence of bibliometric mapping in tourism-entrepreneurship research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{"citationID":"lru3R2y1","properties":{"formattedCitation":"(Chhabra et al., 2025; Garc\\uc0\\u237{}a-Lillo et al., 2023)","plainCitation":"(Chhabra et al., 2025; García-Lillo et al., 2023)","noteIndex":0},"citationItems":[{"id":4985,"uris":["http://zotero.org/users/16002547/items/77XAQCQ3"],"itemData":{"id":4985,"type":"article-journal","container-title":"Current Issues in Tourism","DOI":"10.1080/13683500.2025.2507108","ISSN":"1368-3500, 1747-7603","journalAbbreviation":"Current Issues in Tourism","language":"en","page":"1-21","source":"DOI.org (Crossref)","title":"Mapping the current and future issues of tourism entrepreneurship research: a systematic review of key themes and research gaps","title-short":"Mapping the current and future issues of tourism entrepreneurship research","author":[{"family":"Chhabra","given":"Meghna"},{"family":"Luu","given":"Trong Tuan"},{"family":"Gupta","given":"Yuvika"}],"issued":{"date-parts":[["2025",5,21]]}},"label":"page"},{"id":4986,"uris":["http://zotero.org/users/16002547/items/GZWXSA5A"],"itemData":{"id":4986,"type":"article-journal","container-title":"Journal of Business Research","DOI":"10.1016/j.jbusres.2022.113624","ISSN":"01482963","journalAbbreviation":"Journal of Business Research","language":"en","page":"113624","source":"DOI.org (Crossref)","title":"What is going on in entrepreneurship research? A bibliometric and SNA analysis","title-short":"What is going on in entrepreneurship research?","volume":"158","author":[{"family":"García-Lillo","given":"Francisco"},{"family":"Seva-Larrosa","given":"Pedro"},{"family":"Sánchez-García","given":"Eduardo"}],"issued":{"date-parts":[["2023",3]]}},"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kern w:val="0"/>
          <w:sz w:val="22"/>
          <w:szCs w:val="22"/>
          <w:lang w:val="en-US"/>
        </w:rPr>
        <w:t>(Chhabra et al., 2025; García-Lillo et al., 2023)</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a mosaic of synthesized cases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{"citationID":"XFfqVLM8","properties":{"formattedCitation":"(Baiocco et al., 2023; Manalu et al., 2024; Solvoll et al., 2015)","plainCitation":"(Baiocco et al., 2023; Manalu et al., 2024; Solvoll et al., 2015)","noteIndex":0},"citationItems":[{"id":4990,"uris":["http://zotero.org/users/16002547/items/6JVGG59B"],"itemData":{"id":4990,"type":"article-journal","abstract":"Purpose\n              This paper aims to enhance understanding of how sustainable entrepreneurship (SE) contributes to sustainable development in the tourism sector. To do so, specific factors that act as enablers or inhibitors of SE are identified according to a co-evolutionary lens.\n            \n            \n              Design/methodology/approach\n              A co-evolutionary explanation of the firm? Environment relationship is adopted to undertake a qualitative empirical study of the Castelli Romani tourism destination (Italy), via 23 semi-structured interviews according to a narrative approach.\n            \n            \n              Findings\n              The paper demonstrates that entrepreneurs play a crucial role in sustainable development but cannot act in isolation. In fact, according to the co-evolutionary approach, they influence and are influenced by 20 factors. Accordingly, SE can be conceptualised as resulting from effective co-evolutionary interactions between micro (i.e. entrepreneurs and their firm), meso (i.e. the destination where tourism firms are based) and macro (i.e. the wider socio-economic and natural system) levels.\n            \n            \n              Practical implications\n              Several actions are suggested to entrepreneurs and policymakers to help achieve specific sustainable development goals. These actions focus on: (1) training courses, (2) investments in technologies, (3) creation of innovative business models, (4) exploitation of cultural and natural resources, (5) community involvement and (6) multi-level partnerships.\n            \n            \n              Originality/value\n              This is the first study that adopts a co-evolutionary lens to investigate the influencing factors of SE in tourism, shedding light on the effects of their dynamic interdependence. Thus, it provides a more nuanced SE conceptualisation that takes a holistic and dynamic view of sustainability.","container-title":"Journal of Small Business and Enterprise Development","DOI":"10.1108/JSBED-01-2023-0003","ISSN":"1462-6004","issue":"7","journalAbbreviation":"JSBED","language":"en","license":"https://www.emerald.com/insight/site-policies","page":"1521-1546","source":"DOI.org (Crossref)","title":"Entrepreneurship for sustainable development: co-evolutionary evidence from the tourism sector","title-short":"Entrepreneurship for sustainable development","volume":"30","author":[{"family":"Baiocco","given":"Silvia"},{"family":"Leoni","given":"Luna"},{"family":"Paniccia","given":"Paola Maria Anna"}],"issued":{"date-parts":[["2023",12,4]]}},"label":"page"},{"id":4989,"uris":["http://zotero.org/users/16002547/items/37VESW5S"],"itemData":{"id":4989,"type":"article-journal","container-title":"Cogent Business &amp; Management","DOI":"10.1080/23311975.2024.2418421","ISSN":"2331-1975","issue":"1","journalAbbreviation":"Cogent Business &amp; Management","language":"en","page":"2418421","source":"DOI.org (Crossref)","title":"Tourism entrepreneurship research: A mixed embeddedness approach","title-short":"Tourism entrepreneurship research","volume":"11","author":[{"family":"Manalu","given":"Santi Agustina"},{"family":"Simatupang","given":"Togar Mangihut"},{"family":"Novani","given":"Santi"}],"issued":{"date-parts":[["2024",12,31]]}},"label":"page"},{"id":4987,"uris":["http://zotero.org/users/16002547/items/BYGBED6K"],"itemData":{"id":4987,"type":"article-journal","container-title":"Scandinavian Journal of Hospitality and Tourism","DOI":"10.1080/15022250.2015.1065592","ISSN":"1502-2250, 1502-2269","issue":"sup1","journalAbbreviation":"Scandinavian Journal of Hospitality and Tourism","language":"en","page":"120-137","source":"DOI.org (Crossref)","title":"Tourism entrepreneurship – Review and future directions","volume":"15","author":[{"family":"Solvoll","given":"Sølvi"},{"family":"Alsos","given":"Gry Agnete"},{"family":"Bulanova","given":"Oxana"}],"issued":{"date-parts":[["2015",8,28]]}},"label":"page"}],"schema":"https://github.com/citation-style-language/schema/raw/master/csl-citation.json"}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(Baiocco et al., 2023; Manalu et al., 2024; Solvoll et al., 2015)</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standalone case study fragments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{"citationID":"UjtZ6yjP","properties":{"formattedCitation":"(Ochoa Jim\\uc0\\u233{}nez et al., 2022; Saufi et al., 2023; Torkington et al., 2025)","plainCitation":"(Ochoa Jiménez et al., 2022; Saufi et al., 2023; Torkington et al., 2025)","noteIndex":0},"citationItems":[{"id":4992,"uris":["http://zotero.org/users/16002547/items/QDZPSUKB"],"itemData":{"id":4992,"type":"article-journal","abstract":"Entrepreneurship and tourism are linked as relevant aspects of study due to their influence on the society’s development. In attempt to identify the main theoretical contributions in the 21st century, a bibliometric study was carried out, based on publications of tourism entrepreneurship in the Web of Science (WoS) and Scopus databases. As a result, data from 268 documents were obtained and processed in VosViewer. The main findings place Haber, Altinay, and Hallak as the most cited authors; when analyzing co-authorship, co-citation, and bibliographic coupling by authors, the distribution changes in relation to the contribution. England, Australia, and United States are the main countries that originate publications on the subject and have an impact on their dissemination; and Tourism Management is the Journal with the highest number of citations. The topics were grouped into three clusters: (1) Sustainable Rural Tourism, (2) Small business and lifestyle, and (3) Social entrepreneurship, with a predominantly human and social focus over the economic vision. This study can be the basis for further studies about adjacent, related, or emerging topics to entrepreneurship in tourism, as well as to generate practical proposals for new or potential entrepreneurs.","container-title":"Sage Open","DOI":"10.1177/21582440221102438","ISSN":"2158-2440, 2158-2440","issue":"2","journalAbbreviation":"Sage Open","language":"en","page":"21582440221102438","source":"DOI.org (Crossref)","title":"Entrepreneurship in tourism studies in the 21st century: A bibliometric study of WoS and Scopus","title-short":"Entrepreneurship in Tourism Studies in the 21st Century","volume":"12","author":[{"family":"Ochoa Jiménez","given":"Sergio"},{"family":"García García","given":"Alma Rocío"},{"family":"Valdez Del Río","given":"Sacnicté"},{"family":"Jacobo Hernández","given":"Carlos Armando"}],"issued":{"date-parts":[["2022",4]]}},"label":"page"},{"id":4994,"uris":["http://zotero.org/users/16002547/items/MYVSUANX"],"itemData":{"id":4994,"type":"article-journal","abstract":"The entrepreneur’s ability to networking is particularly critical when dealing with business turbulence, such as that affected by the COVID-19 pandemic. This study aims to analyze the STE operators manage their networks during the changing business environment affected by earthquake and COVID-19 pandemic in Lombok. Data was collected from twenty-one tourism entrepreneurs through semi-structured observations and interviews, and analyzed using content analysis. The study identifies three categories: parties involved in the network (tourism managers, tourism authorities, transport operators, destination communities, and tourists), linking methods (management network approach) and collaboration objectives (management network objectives). After the earthquake (when business turbulence was still not so intense), STE managers used direct physical contact, social media, and online partners to expand their networks, developing more cooperation (rather than collaboration) to create social exchange benefits. During the COVID-19 pandemic (when business turbulence was more intense), STE managers increased their use of social media to deepen their networks and focused on developing collaborations with a limited number of partners to reap the benefits of economic exchange. This study recommends local government intervention in improving the ability of STE management networks and building online-based networks.","container-title":"International Journal of Social Science and Business","DOI":"10.23887/ijssb.v7i2.60161","ISSN":"2549-6409, 2614-6533","issue":"2","journalAbbreviation":"IJSSB","license":"https://creativecommons.org/licenses/by-sa/4.0","page":"483-493","source":"DOI.org (Crossref)","title":"The small tourism enterprise operators’ networking in dealing with the changing business environment","volume":"7","author":[{"family":"Saufi","given":"Akhmad"},{"family":"Genadi","given":"Yeldi"},{"family":"Agusdin","given":"Agusdin"},{"family":"Scott","given":"Noel"}],"issued":{"date-parts":[["2023",6,4]]}},"label":"page"},{"id":4996,"uris":["http://zotero.org/users/16002547/items/H772SM9I"],"itemData":{"id":4996,"type":"article-journal","container-title":"Journal of Rural Studies","DOI":"10.1016/j.jrurstud.2025.103562","ISSN":"07430167","journalAbbreviation":"Journal of Rural Studies","language":"en","page":"103562","source":"DOI.org (Crossref)","title":"Challenges for tourism-related lifestyle migrant entrepreneurship in rural areas of the Algarve, Portugal","volume":"115","author":[{"family":"Torkington","given":"Kate"},{"family":"Eimermann","given":"Marco"},{"family":"Ribeiro","given":"Filipa Perdigão"},{"family":"Conceição","given":"Susana"}],"issued":{"date-parts":[["2025",4]]}},"label":"page"}],"schema":"https://github.com/citation-style-language/schema/raw/master/csl-citation.json"}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kern w:val="0"/>
          <w:sz w:val="22"/>
          <w:szCs w:val="22"/>
          <w:lang w:val="en-US"/>
        </w:rPr>
        <w:t>(Ochoa Jiménez et al., 2022; Saufi et al., 2023; Torkington et al., 2025)</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a restricted Bantul-centric focus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{"citationID":"u58hcQVJ","properties":{"formattedCitation":"(Aquino &amp; Boluk, 2025)","plainCitation":"(Aquino &amp; Boluk, 2025)","noteIndex":0},"citationItems":[{"id":4997,"uris":["http://zotero.org/users/16002547/items/ZVB5XK86"],"itemData":{"id":4997,"type":"article-journal","container-title":"Tourism Management Perspectives","DOI":"10.1016/j.tmp.2025.101351","ISSN":"22119736","journalAbbreviation":"Tourism Management Perspectives","language":"en","page":"101351","source":"DOI.org (Crossref)","title":"Social entrepreneurship in tourism: A framework-based scoping review and research agenda","title-short":"Social entrepreneurship in tourism","volume":"57","author":[{"family":"Aquino","given":"Richard S."},{"family":"Boluk","given":"Karla A."}],"issued":{"date-parts":[["2025",6]]}}}],"schema":"https://github.com/citation-style-language/schema/raw/master/csl-citation.json"}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(Aquino &amp; Boluk, 2025)</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and the implementation of integrated SLR and VOSviewer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{"citationID":"3VoCOsuf","properties":{"formattedCitation":"(Pambudi et al., 2022; Ridanp\\uc0\\u228{}\\uc0\\u228{}, 2025; Teruel-Sanchez et al., 2025)","plainCitation":"(Pambudi et al., 2022; Ridanpää, 2025; Teruel-Sanchez et al., 2025)","noteIndex":0},"citationItems":[{"id":4972,"uris":["http://zotero.org/users/16002547/items/U5RZQSTM"],"itemData":{"id":4972,"type":"article-journal","abstract":"This article explores the network governance in the development of the Podokoyo Tourism Village, Pasuruan Regency. This study aims to analyze the application of the elements of network governance, which include trust, network goal consensus, need for network-level competencies, the number of participants, outputs, and outcomes of tourism Village development. The study results identify three achievements during the Podokoyo Tourism Village development network, such as the success of having superior Village products, increasing the capacity of Podokoyo Village's human resources in tourism management, and receiving the title of Maslahat Village. Among the obstacles is the lacking role of government elements, particularly the Tourism and Culture Agency and Community and Village Empowerment Agency.","container-title":"Jurnal Perencanaan Pembangunan: The Indonesian Journal of Development Planning","DOI":"10.36574/jpp.v6i2.339","ISSN":"25980807, 26542625","issue":"2","journalAbbreviation":"jpp","page":"236-248","source":"DOI.org (Crossref)","title":"Network governance towards development policy of Podokoyo tourism village in Pasuruan regency","volume":"6","author":[{"family":"Pambudi","given":"Sulung Satriyo Irkham"},{"family":"Hakim","given":"Muhammad Luthfil"},{"family":"Lesmana","given":"Very Yudha"}],"issued":{"date-parts":[["2022",8,31]]}},"label":"page"},{"id":5000,"uris":["http://zotero.org/users/16002547/items/TUDP3ESA"],"itemData":{"id":5000,"type":"article-journal","container-title":"Tourism Geographies","DOI":"10.1080/14616688.2025.2535690","ISSN":"1461-6688, 1470-1340","journalAbbreviation":"Tourism Geographies","language":"en","page":"1-18","source":"DOI.org (Crossref)","title":"Framework for regenerative entrepreneurship in tourism: fostering reciprocal relationships within place","title-short":"Framework for regenerative entrepreneurship in tourism","author":[{"family":"Ridanpää","given":"Roosa"}],"issued":{"date-parts":[["2025",7,22]]}},"label":"page"},{"id":5001,"uris":["http://zotero.org/users/16002547/items/FU2XE4EG"],"itemData":{"id":5001,"type":"article-journal","abstract":"Abstract\n            The aim of this research is to understand the relationship between sustainability and entrepreneurship of small tourism enterprises in an area of high environmental value (tourist environment) which has been threatened in different ways (e.g., COVID-19, tourist pressure, natural phenomena, pollution, etc.), considering the mediating effect of the values of the entrepreneur and the tourist environment. This is a quantitative study, using a multivariate second-order hierarchical component model. Partial least squares structural equation modelling was used for the analysis. The results indicate that sustainability alone is not sufficient for entrepreneurship. However, if sustainability is mediated by the values of the entrepreneur and the tourism environment, it does have a positive impact on entrepreneurship. Furthermore, these variables have a positive effect on entrepreneurship, therefore these values of the entrepreneur are revealed as a driver of a sustainable economic model. This work has significant implications for decision-making regarding the importance of sustainable entrepreneurship in an environmentally threatened coastal area. It is recommended that tourism companies invest in sustainable tourism actions to preserve the local environment because of its positive influence on stakeholders. This research fills a gap in the literature on the relationship between sustainability, entrepreneur values, environment and entrepreneurship. It highlights the importance of context-specific contingencies for sustainability and the impact of entrepreneurship. The study provides a novel framework for understanding the process of social change towards sustainable tourism led by the entrepreneur and his or her values. The study is limited to a very specific area of high ecological value, so we consider that it can be extrapolated to similar areas.\n          , \n            Resumen\n            El objetivo de esta investigación es comprender la relación entre la sostenibilidad y el emprendimiento de pequeñas empresas turísticas en una zona de alto valor ambiental (entorno turístico) que ha sido amenazada de diversas maneras (por ejemplo, COVID-19, presión turística, fenómenos naturales, contaminación, etc.), considerando el efecto mediador de los valores del emprendedor y el entorno turístico. Este es un estudio cuantitativo, utilizando un modelo de componentes jerárquicos de segundo orden multivariante. Para su análisis se utilizó el modelado de ecuaciones estructurales de mínimos cuadrados parciales. Los resultados indican que la sostenibilidad por sí sola no es suficiente para emprender. Sin embargo, si la sostenibilidad está mediada por los valores del emprendedor y el entorno turístico, tiene un impacto positivo en el emprendimiento. Además, estas variables tienen un efecto positivo en el emprendimiento, por lo tanto, estos valores del emprendedor se revelan como un impulsor de un modelo económico sostenible. Este trabajo tiene importantes implicaciones para la toma de decisiones sobre la importancia del emprendimiento sostenible en una zona costera amenazada ambientalmente. Se recomienda que las empresas turísticas inviertan en acciones de turismo sostenible para preservar el entorno local debido a su influencia positiva en las partes interesadas. Esta investigación llena un vacío en la literatura sobre la relación entre sostenibilidad, valores del emprendedor, entorno y emprendimiento. Destaca la importancia de las contingencias específicas del contexto para la sostenibilidad y el impacto del emprendimiento. El estudio proporciona un marco novedoso para comprender el proceso de cambio social hacia un turismo sostenible liderado por el emprendedor y sus valores. El estudio está limitado a una zona muy específica de alto valor ecológico, por lo que consideramos que puede extrapolarse a áreas similares.","container-title":"Journal of International Entrepreneurship","DOI":"10.1007/s10843-025-00381-0","ISSN":"1570-7385, 1573-7349","journalAbbreviation":"J Int Entrep","language":"en","source":"DOI.org (Crossref)","title":"Values of the entrepreneur as a driver of sustainable tourism entrepreneurship","URL":"https://link.springer.com/10.1007/s10843-025-00381-0","author":[{"family":"Teruel-Sanchez","given":"Ricardo"},{"family":"Briones-Peñalver","given":"Antonio Juan"},{"family":"Bernal-Conesa","given":"Juan Andrés"},{"family":"De Nieves-Nieto","given":"Carmen"}],"accessed":{"date-parts":[["2025",8,6]]},"issued":{"date-parts":[["2025",1,24]]}},"label":"page"}],"schema":"https://github.com/citation-style-language/schema/raw/master/csl-citation.json"}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kern w:val="0"/>
          <w:sz w:val="22"/>
          <w:szCs w:val="22"/>
          <w:lang w:val="en-US"/>
        </w:rPr>
        <w:t>(Pambudi et al., 2022; Ridanpää, 2025; Teruel-Sanchez et al., 2025)</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In Bantul, there are individual case study reports of village entrepreneurship; however, these previous studies are not compiled and integrated to form a comprehensive analysis of the entrepreneurial drivers across various contexts and villages. Bantul Regency is the subject of a smaller number of studies on tourism-based entrepreneurship, although there are more comprehensive studies. A study on the growth of tourism villages in Bantul identified the primary constraining factors as a lack of support and participation from community stakeholders, gaps in infrastructure, and human resource challenges. Community-based tourism in Indonesia has been the subject of a bibliometric study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{"citationID":"CbW0RBZe","properties":{"formattedCitation":"(Garc\\uc0\\u237{}a-Lillo et al., 2023; Ochoa Jim\\uc0\\u233{}nez et al., 2022)","plainCitation":"(García-Lillo et al., 2023; Ochoa Jiménez et al., 2022)","noteIndex":0},"citationItems":[{"id":4986,"uris":["http://zotero.org/users/16002547/items/GZWXSA5A"],"itemData":{"id":4986,"type":"article-journal","container-title":"Journal of Business Research","DOI":"10.1016/j.jbusres.2022.113624","ISSN":"01482963","journalAbbreviation":"Journal of Business Research","language":"en","page":"113624","source":"DOI.org (Crossref)","title":"What is going on in entrepreneurship research? A bibliometric and SNA analysis","title-short":"What is going on in entrepreneurship research?","volume":"158","author":[{"family":"García-Lillo","given":"Francisco"},{"family":"Seva-Larrosa","given":"Pedro"},{"family":"Sánchez-García","given":"Eduardo"}],"issued":{"date-parts":[["2023",3]]}},"label":"page"},{"id":4992,"uris":["http://zotero.org/users/16002547/items/QDZPSUKB"],"itemData":{"id":4992,"type":"article-journal","abstract":"Entrepreneurship and tourism are linked as relevant aspects of study due to their influence on the society’s development. In attempt to identify the main theoretical contributions in the 21st century, a bibliometric study was carried out, based on publications of tourism entrepreneurship in the Web of Science (WoS) and Scopus databases. As a result, data from 268 documents were obtained and processed in VosViewer. The main findings place Haber, Altinay, and Hallak as the most cited authors; when analyzing co-authorship, co-citation, and bibliographic coupling by authors, the distribution changes in relation to the contribution. England, Australia, and United States are the main countries that originate publications on the subject and have an impact on their dissemination; and Tourism Management is the Journal with the highest number of citations. The topics were grouped into three clusters: (1) Sustainable Rural Tourism, (2) Small business and lifestyle, and (3) Social entrepreneurship, with a predominantly human and social focus over the economic vision. This study can be the basis for further studies about adjacent, related, or emerging topics to entrepreneurship in tourism, as well as to generate practical proposals for new or potential entrepreneurs.","container-title":"Sage Open","DOI":"10.1177/21582440221102438","ISSN":"2158-2440, 2158-2440","issue":"2","journalAbbreviation":"Sage Open","language":"en","page":"21582440221102438","source":"DOI.org (Crossref)","title":"Entrepreneurship in tourism studies in the 21st century: A bibliometric study of WoS and Scopus","title-short":"Entrepreneurship in Tourism Studies in the 21st Century","volume":"12","author":[{"family":"Ochoa Jiménez","given":"Sergio"},{"family":"García García","given":"Alma Rocío"},{"family":"Valdez Del Río","given":"Sacnicté"},{"family":"Jacobo Hernández","given":"Carlos Armando"}],"issued":{"date-parts":[["2022",4]]}},"label":"page"}],"schema":"https://github.com/citation-style-language/schema/raw/master/csl-citation.json"}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kern w:val="0"/>
          <w:sz w:val="22"/>
          <w:szCs w:val="22"/>
          <w:lang w:val="en-US"/>
        </w:rPr>
        <w:t>(García-Lillo et al., 2023; Ochoa Jiménez et al., 2022)</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however, there has been no investigation into the intersection of tourism villages and entrepreneurship in Bantul Regency. </w:t>
      </w:r>
    </w:p>
    <w:p w14:paraId="7C491CE6">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It is impossible to identify the authors, institutions, and dominant thematic threads of the region in the absence of such mapping, which subsequently impedes the identification of potential research frontiers and collaboration pathways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{"citationID":"CmDaNnwR","properties":{"formattedCitation":"(Baiocco et al., 2023; Chhabra et al., 2025; Dias et al., 2023)","plainCitation":"(Baiocco et al., 2023; Chhabra et al., 2025; Dias et al., 2023)","noteIndex":0},"citationItems":[{"id":4990,"uris":["http://zotero.org/users/16002547/items/6JVGG59B"],"itemData":{"id":4990,"type":"article-journal","abstract":"Purpose\n              This paper aims to enhance understanding of how sustainable entrepreneurship (SE) contributes to sustainable development in the tourism sector. To do so, specific factors that act as enablers or inhibitors of SE are identified according to a co-evolutionary lens.\n            \n            \n              Design/methodology/approach\n              A co-evolutionary explanation of the firm? Environment relationship is adopted to undertake a qualitative empirical study of the Castelli Romani tourism destination (Italy), via 23 semi-structured interviews according to a narrative approach.\n            \n            \n              Findings\n              The paper demonstrates that entrepreneurs play a crucial role in sustainable development but cannot act in isolation. In fact, according to the co-evolutionary approach, they influence and are influenced by 20 factors. Accordingly, SE can be conceptualised as resulting from effective co-evolutionary interactions between micro (i.e. entrepreneurs and their firm), meso (i.e. the destination where tourism firms are based) and macro (i.e. the wider socio-economic and natural system) levels.\n            \n            \n              Practical implications\n              Several actions are suggested to entrepreneurs and policymakers to help achieve specific sustainable development goals. These actions focus on: (1) training courses, (2) investments in technologies, (3) creation of innovative business models, (4) exploitation of cultural and natural resources, (5) community involvement and (6) multi-level partnerships.\n            \n            \n              Originality/value\n              This is the first study that adopts a co-evolutionary lens to investigate the influencing factors of SE in tourism, shedding light on the effects of their dynamic interdependence. Thus, it provides a more nuanced SE conceptualisation that takes a holistic and dynamic view of sustainability.","container-title":"Journal of Small Business and Enterprise Development","DOI":"10.1108/JSBED-01-2023-0003","ISSN":"1462-6004","issue":"7","journalAbbreviation":"JSBED","language":"en","license":"https://www.emerald.com/insight/site-policies","page":"1521-1546","source":"DOI.org (Crossref)","title":"Entrepreneurship for sustainable development: co-evolutionary evidence from the tourism sector","title-short":"Entrepreneurship for sustainable development","volume":"30","author":[{"family":"Baiocco","given":"Silvia"},{"family":"Leoni","given":"Luna"},{"family":"Paniccia","given":"Paola Maria Anna"}],"issued":{"date-parts":[["2023",12,4]]}},"label":"page"},{"id":4985,"uris":["http://zotero.org/users/16002547/items/77XAQCQ3"],"itemData":{"id":4985,"type":"article-journal","container-title":"Current Issues in Tourism","DOI":"10.1080/13683500.2025.2507108","ISSN":"1368-3500, 1747-7603","journalAbbreviation":"Current Issues in Tourism","language":"en","page":"1-21","source":"DOI.org (Crossref)","title":"Mapping the current and future issues of tourism entrepreneurship research: a systematic review of key themes and research gaps","title-short":"Mapping the current and future issues of tourism entrepreneurship research","author":[{"family":"Chhabra","given":"Meghna"},{"family":"Luu","given":"Trong Tuan"},{"family":"Gupta","given":"Yuvika"}],"issued":{"date-parts":[["2025",5,21]]}},"label":"page"},{"id":4998,"uris":["http://zotero.org/users/16002547/items/W2JL623W"],"itemData":{"id":4998,"type":"article-journal","abstract":"Purpose\n              This study aims to systematize the drivers of nascent entrepreneurship in tourism and to suggest avenues for future research. As a consequence of the pandemic, a reduction in early-stage entrepreneurial activity was reported worldwide. The countries that responded best to this situation were those that fostered entrepreneurship at this early stage, designated as nascent. Hence, research on nascent entrepreneurs requires particular attention.\n            \n            \n              Design/methodology/approach\n              To address this study’s goal, the authors have examined the development of nascent entrepreneur literature in the last two decades and discussed how the literature on tourism nascent entrepreneurship relates to the mainstream literature in terms of theoretical frameworks. The authors explored specificities of the tourism industry to propose new research avenues to explore the theme of new venture creation in the hospitality and tourism sector.\n            \n            \n              Findings\n              The authors divided the implication of tourism specificities into main themes: motivations, human and social capital and government and incubators. Several research questions for future research are proposed.\n            \n            \n              Practical implications\n              By focusing on nascent entrepreneurship, researchers and policymakers can obtain important insights from projects that have not been implemented, going beyond those that have been successfully undertaken, as aimed at in entrepreneurship research.\n            \n            \n              Originality/value\n              This research contributes to the nascent tourism entrepreneurship literature by providing theoretical and empirical research questions to advance existing knowledge in tourism nascent entrepreneurship.","container-title":"International Journal of Contemporary Hospitality Management","DOI":"10.1108/IJCHM-07-2022-0853","ISSN":"0959-6119, 0959-6119","issue":"7","journalAbbreviation":"IJCHM","language":"en","license":"https://www.emerald.com/insight/site-policies","page":"2527-2544","source":"DOI.org (Crossref)","title":"Nascent entrepreneurship: a critical perspective and research agenda in tourism and hospitality","title-short":"Nascent entrepreneurship","volume":"35","author":[{"family":"Dias","given":"Álvaro"},{"family":"González-Rodríguez","given":"M. Rosario"},{"family":"Hallak","given":"Rob"}],"issued":{"date-parts":[["2023",6,9]]}},"label":"page"}],"schema":"https://github.com/citation-style-language/schema/raw/master/csl-citation.json"}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kern w:val="0"/>
          <w:sz w:val="22"/>
          <w:szCs w:val="22"/>
          <w:lang w:val="en-US"/>
        </w:rPr>
        <w:t>(Baiocco et al., 2023; Chhabra et al., 2025; Dias et al., 2023)</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This investigation is anticipated to generate dual-impact results, which would include substantial contributions to scholarly discourse and practical strategies for the entrepreneurial development of tourism villages in the Bantul region. The research purposes to provide policymakers, village institutions, and private-sector stakeholders with practical recommendations to develop customized strategies that promote sustainable livelihoods and entrepreneurial ecosystems, as well as evidence-based interventions, by concentrating on these gap areas. By addressing these specific gaps, the research seeks to empower local stakeholders with actionable insights that can enhance economic opportunities and foster sustainable practices within tourism villages. Ultimately, this approach aims to create a more resilient and thriving community in the Bantul region. However, some critics contend that a universal strategy might ignore the distinct cultural and social dynamics of each village, potentially resulting in ineffective solutions. </w:t>
      </w:r>
    </w:p>
    <w:p w14:paraId="711CF7F5">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Additionally, there is concern that focusing solely on economic growth could overshadow the importance of preserving local traditions and environmental integrity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{"citationID":"fiQyAMxQ","properties":{"formattedCitation":"(Nurozi, 2021; Poniasih et al., 2022)","plainCitation":"(Nurozi, 2021; Poniasih et al., 2022)","noteIndex":0},"citationItems":[{"id":4913,"uris":["http://zotero.org/users/16002547/items/2UFYVZUM"],"itemData":{"id":4913,"type":"article-journal","abstract":"… area, with its potential, still needs to optimize its business in … The area of Bantul district has a variety of exciting tourist … group of people by visiting certain places for recreational purposes, …","container-title":"Journal of Islamic Economics Lariba","issue":"Query date: 2025-08-06 11:32:08","note":"publisher: journal.uii.ac.id","title":"Design and potential of Halal tourism industry in Yogyakarta Special Region","URL":"https://journal.uii.ac.id/JIELariba/article/view/21861","author":[{"family":"Nurozi","given":"A"}],"issued":{"date-parts":[["2021"]]}},"label":"page"},{"id":4945,"uris":["http://zotero.org/users/16002547/items/M6RIX2TE"],"itemData":{"id":4945,"type":"article-journal","abstract":"… , leading to social business development, heightened economic … Way Kanan regency, abundant tourism potential exists … mandating villages and sub-districts with tourism potential to …","container-title":"Cepalo","issue":"Query date: 2025-08-06 11:32:08","note":"publisher: jurnal.fh.unila.ac.id","title":"Through village-owned business agencies, towards tough tourism village","URL":"https://jurnal.fh.unila.ac.id/index.php/cepalo/article/view/2582","author":[{"family":"Poniasih","given":"NK"},{"family":"Rosalia","given":"F"},{"family":"Muklis","given":"M"},{"family":"Maryanah","given":"T"}],"issued":{"date-parts":[["2022"]]}},"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(Nurozi, 2021; Poniasih et al., 2022)</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These results highlight the importance of tailoring strategies to fit the specific needs and characteristics of each village, ensuring that development does not compromise cultural heritage or environmental sustainability. Balancing economic growth with these values is essential for creating long-term benefits for the community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{"citationID":"0tMCFCux","properties":{"formattedCitation":"(A. Rahman &amp; Natalia, 2025; Wardani et al., 2023)","plainCitation":"(A. Rahman &amp; Natalia, 2025; Wardani et al., 2023)","noteIndex":0},"citationItems":[{"id":4907,"uris":["http://zotero.org/users/16002547/items/5MCNF3IN"],"itemData":{"id":4907,"type":"article-journal","abstract":"… and consisted of village heads, tourism village managers, and business actors in four … as its significant potential for tourism village development. Community independence in managing …","container-title":"Jurnal Pariwisata Pesona","issue":"Query date: 2025-08-06 11:32:08","note":"publisher: jurnal.unmer.ac.id","title":"Community independence as empowerment in tourism village development: a study from Batu City, East Java","URL":"https://jurnal.unmer.ac.id/index.php/jpp/article/view/1-12","author":[{"family":"Rahman","given":"AF"},{"family":"Natalia","given":"DC"}],"issued":{"date-parts":[["2025"]]}},"label":"page"},{"id":4910,"uris":["http://zotero.org/users/16002547/items/JEICSE66"],"itemData":{"id":4910,"type":"article-journal","abstract":"… This destination is famous as a Robustas coffee-producing village in Jember Regency. … Sidomulyo Tourism Village has various potentials related to culture, namely batik, rice and coffee …","container-title":"Journal of Enterprise and …","issue":"Query date: 2025-08-06 11:32:08","note":"publisher: sipora.polije.ac.id","title":"Community-based tourism optimization through institutional entrepreneurship in Sidomulyo Tourism Village","URL":"https://sipora.polije.ac.id/id/eprint/20230","author":[{"family":"Wardani","given":"PA"},{"family":"NH","given":"UH Kamiliyah"},{"literal":"..."}],"issued":{"date-parts":[["2023"]]}},"label":"page"}],"schema":"https://github.com/citation-style-language/schema/raw/master/csl-citation.json"}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(A. Rahman &amp; Natalia, 2025; Wardani et al., 2023)</w:t>
      </w:r>
      <w:r>
        <w:rPr>
          <w:rFonts w:hint="default" w:ascii="Garamond" w:hAnsi="Garamond" w:cs="Garamond"/>
          <w:sz w:val="22"/>
          <w:szCs w:val="22"/>
          <w:lang w:val="en-US"/>
        </w:rPr>
        <w:fldChar w:fldCharType="end"/>
      </w:r>
      <w:r>
        <w:rPr>
          <w:rFonts w:hint="default" w:ascii="Garamond" w:hAnsi="Garamond" w:cs="Garamond"/>
          <w:sz w:val="22"/>
          <w:szCs w:val="22"/>
          <w:lang w:val="en-US"/>
        </w:rPr>
        <w:t xml:space="preserve">. Achieving a harmonious coexistence between economic growth and the preservation of cultural heritage is not only a noble goal but also a necessary endeavor for sustainable development. When local traditions and environmental integrity risk being overshadowed, it becomes imperative to tailor strategies that resonate with the unique needs of each village </w:t>
      </w: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ZOTERO_ITEM CSL_CITATION {"citationID":"WXTC1vQt","properties":{"formattedCitation":"(Fajri, 2020; Ramadhani et al., 2021; Suharti et al., 2023)","plainCitation":"(Fajri, 2020; Ramadhani et al., 2021; Suharti et al., 2023)","noteIndex":0},"citationItems":[{"id":4937,"uris":["http://zotero.org/users/16002547/items/FCICE8BG"],"itemData":{"id":4937,"type":"article-journal","abstract":"… (DIY) has considerable Tourism Village potential and is very … Tourism Village in Bantul Regency as an alternative tourism … and creative entrepreneurship), the role of the Bantul Regency …","container-title":"Jurnal Pariwisata Terapan","issue":"Query date: 2025-08-06 11:32:08","note":"publisher: journal.ugm.ac.id","title":"The development of Krebet tourism village in the Industry 4.0 era","URL":"https://journal.ugm.ac.id/jpt/article/view/55686","author":[{"family":"Fajri","given":"DNA"}],"issued":{"date-parts":[["2020"]]}},"label":"page"},{"id":4924,"uris":["http://zotero.org/users/16002547/items/QCA4CDXR"],"itemData":{"id":4924,"type":"article-journal","abstract":"… Bawuran, District Pleret, Bantul which have tourism potential … Bantul Regency, especially in the development of potential … people's incomes, increase business opportunities, enhance …","container-title":"Journal of Robotics and …","issue":"Query date: 2025-08-06 11:32:08","note":"publisher: journal.umy.ac.id","title":"E-Marketing of village tourism development strategy (Case study in the tourist village puncak sosok)","URL":"https://journal.umy.ac.id/index.php/jrc/article/view/8357","author":[{"family":"Ramadhani","given":"R"},{"family":"Suswanta","given":"S"},{"literal":"..."}],"issued":{"date-parts":[["2021"]]}},"label":"page"},{"id":4917,"uris":["http://zotero.org/users/16002547/items/DJCMUNAA"],"itemData":{"id":4917,"type":"article-journal","abstract":"… business actors in Indonesia, including tourism village initiators. Besides preserving potential local wisdom, this tourism village … Mangunan Tourism Village is located in Bantul regency, …","container-title":"Jurnal manajemen …","issue":"Query date: 2025-08-06 11:32:08","note":"publisher: jurnalmanajemen.petra.ac.id","title":"Developing a sustainable tourism village model: An exploratory study","URL":"https://jurnalmanajemen.petra.ac.id/index.php/man/article/view/25754","author":[{"family":"Suharti","given":"L"},{"family":"Sirine","given":"H"},{"family":"Martono","given":"S"}],"issued":{"date-parts":[["2023"]]}},"label":"page"}],"schema":"https://github.com/citation-style-language/schema/raw/master/csl-citation.json"}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(Fajri, 2020; Ramadhani et al., 2021; Suharti et al., 2023)</w:t>
      </w:r>
      <w:r>
        <w:rPr>
          <w:rFonts w:hint="default" w:ascii="Garamond" w:hAnsi="Garamond" w:cs="Garamond"/>
          <w:sz w:val="22"/>
          <w:szCs w:val="22"/>
          <w:lang w:val="en-US"/>
        </w:rPr>
        <w:fldChar w:fldCharType="end"/>
      </w:r>
      <w:r>
        <w:rPr>
          <w:rFonts w:hint="default" w:ascii="Garamond" w:hAnsi="Garamond" w:cs="Garamond"/>
          <w:sz w:val="22"/>
          <w:szCs w:val="22"/>
          <w:lang w:val="en-US"/>
        </w:rPr>
        <w:t>. By prioritizing development initiatives that respect and enhance cultural identities while safeguarding the environment, communities can create a foundation for prosperity that honors their heritage. Ultimately, striking this balance ensures that economic advancement does not come at the expense of community values, paving the way for long-term benefits that enrich both current and future generations.</w:t>
      </w:r>
    </w:p>
    <w:p w14:paraId="211181E5">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The dominant themes and developing trends of tourism villages with entrepreneurial studies are not identified through bibliometric mapping. This research addresses the gap by conducting a systematic literature review (SLR) and bibliometric analysis using VOSviewer to identify the critical success factors and entrepreneurial competencies of the Bantul tourism villages, illustrate the evolution of scholarly debates on entrepreneurship in tourism, and provide direct, concrete recommendations to policymakers, community and local leaders, and field practitioners to enhance the entrepreneurial climate in Bantul Regency and rural areas of the region. This study employs a two-pronged approach—VOSviewer network visualization and a systematic literature review (SLR)—to map the intellectual landscape and synthesize key findings related to the entrepreneurial potential of tourism villages within Bantul Regency. </w:t>
      </w:r>
    </w:p>
    <w:p w14:paraId="0EDF3202">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By analyzing 41 articles drawn from the Scopus and Google Scholar databases, this research identifies thematic clusters, uncovers knowledge gaps, and traces temporal trends from 2015 to 2025. The following research questions of this research are:</w:t>
      </w:r>
    </w:p>
    <w:p w14:paraId="238E1FCA">
      <w:pPr>
        <w:pStyle w:val="30"/>
        <w:numPr>
          <w:ilvl w:val="0"/>
          <w:numId w:val="2"/>
        </w:numPr>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What are the dominant thematic clusters and intellectual structures underpinning research on the entrepreneurial potential of tourism villages in Bantul Regency, as revealed by VOSviewer overlay and density visualizations?  </w:t>
      </w:r>
    </w:p>
    <w:p w14:paraId="1E66508B">
      <w:pPr>
        <w:pStyle w:val="30"/>
        <w:numPr>
          <w:ilvl w:val="0"/>
          <w:numId w:val="2"/>
        </w:numPr>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How have research themes evolved over time—from initial economic impact studies during 2015 to 2025 to emerging focuses on innovation and governance?  </w:t>
      </w:r>
    </w:p>
    <w:p w14:paraId="562C94E6">
      <w:pPr>
        <w:pStyle w:val="30"/>
        <w:numPr>
          <w:ilvl w:val="0"/>
          <w:numId w:val="2"/>
        </w:numPr>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What gaps exist between cultural heritage preservation and business innovation, and between governance frameworks and livelihood outcomes, within the context of tourism village entrepreneurship?  </w:t>
      </w:r>
    </w:p>
    <w:p w14:paraId="0759226F">
      <w:pPr>
        <w:pStyle w:val="30"/>
        <w:numPr>
          <w:ilvl w:val="0"/>
          <w:numId w:val="2"/>
        </w:numPr>
        <w:spacing w:line="240" w:lineRule="auto"/>
        <w:rPr>
          <w:rFonts w:hint="default" w:ascii="Garamond" w:hAnsi="Garamond" w:cs="Garamond"/>
          <w:sz w:val="22"/>
          <w:szCs w:val="22"/>
          <w:lang w:val="en-US"/>
        </w:rPr>
      </w:pPr>
      <w:r>
        <w:rPr>
          <w:rFonts w:hint="default" w:ascii="Garamond" w:hAnsi="Garamond" w:cs="Garamond"/>
          <w:sz w:val="22"/>
          <w:szCs w:val="22"/>
          <w:lang w:val="en-US"/>
        </w:rPr>
        <w:t>Which strategies and metrics have been proposed to enhance capacity building, institutional support, and sustainable enterprise development in Bantul’s tourism villages?</w:t>
      </w:r>
    </w:p>
    <w:p w14:paraId="78C74A26">
      <w:pPr>
        <w:spacing w:line="240" w:lineRule="auto"/>
        <w:rPr>
          <w:rFonts w:hint="default" w:ascii="Garamond" w:hAnsi="Garamond" w:cs="Garamond"/>
          <w:sz w:val="22"/>
          <w:szCs w:val="22"/>
          <w:lang w:val="en-US"/>
        </w:rPr>
      </w:pPr>
    </w:p>
    <w:p w14:paraId="5A7618B6">
      <w:pPr>
        <w:numPr>
          <w:ilvl w:val="0"/>
          <w:numId w:val="1"/>
        </w:numPr>
        <w:spacing w:line="240" w:lineRule="auto"/>
        <w:ind w:left="0" w:leftChars="0" w:firstLine="0" w:firstLineChars="0"/>
        <w:rPr>
          <w:rFonts w:hint="default" w:ascii="Garamond" w:hAnsi="Garamond" w:cs="Garamond"/>
          <w:b/>
          <w:bCs/>
          <w:sz w:val="22"/>
          <w:szCs w:val="22"/>
          <w:lang w:val="en-US"/>
        </w:rPr>
      </w:pPr>
      <w:r>
        <w:rPr>
          <w:rFonts w:hint="default" w:ascii="Garamond" w:hAnsi="Garamond" w:cs="Garamond"/>
          <w:b/>
          <w:bCs/>
          <w:sz w:val="22"/>
          <w:szCs w:val="22"/>
          <w:lang w:val="en-US"/>
        </w:rPr>
        <w:t>METHODOLOGY</w:t>
      </w:r>
    </w:p>
    <w:p w14:paraId="545CB7E3">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A systematic literature review (SLR) method was implemented throughout this investigation.  For this reason, this method necessitates conducting an exhaustive examination of pertinent literature that pertains to the specific subjects being examined.  The primary objective of this research was to investigate the strategies employed in specific fields of study within the broader scope of this analysis. Because of Scopus's international reputation and Google Scholar's established reputation, the researchers selected to use themselves as reference resources.  There were three distinct categories for organizing the process of searching for research articles via Publish or Perish application.  There were three categories: the entrepreneurial potential of tourism villages on the Scopus database, the entrepreneurial potential of tourism villages on Google Scholar, and the entrepreneurial potential of tourism villages in Bantul Regency on Google Scholar.  In order to conduct a scientific analysis, the PRISMA analysis was employed to examine the complete text articles obtained from the Scopus and Google Scholar databases.</w:t>
      </w:r>
    </w:p>
    <w:p w14:paraId="7DC94F21">
      <w:pPr>
        <w:spacing w:line="240" w:lineRule="auto"/>
        <w:jc w:val="both"/>
        <w:rPr>
          <w:rFonts w:hint="default" w:ascii="Garamond" w:hAnsi="Garamond" w:cs="Garamond"/>
          <w:sz w:val="22"/>
          <w:szCs w:val="22"/>
          <w:lang w:val="en-US"/>
        </w:rPr>
      </w:pPr>
      <w:r>
        <w:rPr>
          <w:rFonts w:hint="default" w:ascii="Garamond" w:hAnsi="Garamond" w:cs="Garamond"/>
          <w:b/>
          <w:sz w:val="22"/>
          <w:szCs w:val="22"/>
          <w:lang w:val="en-US"/>
        </w:rPr>
        <w:t>Criteria for Inclusion and Exclusion</w:t>
      </w:r>
    </w:p>
    <w:p w14:paraId="36313B63">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 xml:space="preserve">In this research, the VOSviewer analysis and the Systematic Literature Teview (SLR) investigation employed a five-stage process to identify pertinent literature. </w:t>
      </w:r>
      <w:r>
        <w:rPr>
          <w:rFonts w:hint="default" w:ascii="Garamond" w:hAnsi="Garamond" w:cs="Garamond"/>
          <w:i/>
          <w:iCs/>
          <w:sz w:val="22"/>
          <w:szCs w:val="22"/>
          <w:lang w:val="en-US"/>
        </w:rPr>
        <w:t>First</w:t>
      </w:r>
      <w:r>
        <w:rPr>
          <w:rFonts w:hint="default" w:ascii="Garamond" w:hAnsi="Garamond" w:cs="Garamond"/>
          <w:sz w:val="22"/>
          <w:szCs w:val="22"/>
          <w:lang w:val="en-US"/>
        </w:rPr>
        <w:t xml:space="preserve">, the selected publication data was included to full-text articles and excluded book reviews, theses, dissertations, book chapters, or proceedings or the like. </w:t>
      </w:r>
      <w:r>
        <w:rPr>
          <w:rFonts w:hint="default" w:ascii="Garamond" w:hAnsi="Garamond" w:cs="Garamond"/>
          <w:i/>
          <w:iCs/>
          <w:sz w:val="22"/>
          <w:szCs w:val="22"/>
          <w:lang w:val="en-US"/>
        </w:rPr>
        <w:t>Second</w:t>
      </w:r>
      <w:r>
        <w:rPr>
          <w:rFonts w:hint="default" w:ascii="Garamond" w:hAnsi="Garamond" w:cs="Garamond"/>
          <w:sz w:val="22"/>
          <w:szCs w:val="22"/>
          <w:lang w:val="en-US"/>
        </w:rPr>
        <w:t xml:space="preserve">, the full-text articles were restricted to those that were published within the past decade (2015–2025) and concentrate on the entrepreneurial potential of tourism villages on the Scopus database, the entrepreneurial potential of tourism villages in the Google Scholar database, and the entrepreneurial potential of tourism villages in Bantul Regency in the Google Scholar database. </w:t>
      </w:r>
      <w:r>
        <w:rPr>
          <w:rFonts w:hint="default" w:ascii="Garamond" w:hAnsi="Garamond" w:cs="Garamond"/>
          <w:i/>
          <w:iCs/>
          <w:sz w:val="22"/>
          <w:szCs w:val="22"/>
          <w:lang w:val="en-US"/>
        </w:rPr>
        <w:t>Third</w:t>
      </w:r>
      <w:r>
        <w:rPr>
          <w:rFonts w:hint="default" w:ascii="Garamond" w:hAnsi="Garamond" w:cs="Garamond"/>
          <w:sz w:val="22"/>
          <w:szCs w:val="22"/>
          <w:lang w:val="en-US"/>
        </w:rPr>
        <w:t xml:space="preserve">, the researchers exclusively employed the Scopus and Google Scholar databases. </w:t>
      </w:r>
      <w:r>
        <w:rPr>
          <w:rFonts w:hint="default" w:ascii="Garamond" w:hAnsi="Garamond" w:cs="Garamond"/>
          <w:i/>
          <w:iCs/>
          <w:sz w:val="22"/>
          <w:szCs w:val="22"/>
          <w:lang w:val="en-US"/>
        </w:rPr>
        <w:t>Fourth</w:t>
      </w:r>
      <w:r>
        <w:rPr>
          <w:rFonts w:hint="default" w:ascii="Garamond" w:hAnsi="Garamond" w:cs="Garamond"/>
          <w:sz w:val="22"/>
          <w:szCs w:val="22"/>
          <w:lang w:val="en-US"/>
        </w:rPr>
        <w:t xml:space="preserve">, the researchers utilized Zotero reference management to manage citations and facilitated the search for full-text articles using Publish or Perish 8. </w:t>
      </w:r>
      <w:r>
        <w:rPr>
          <w:rFonts w:hint="default" w:ascii="Garamond" w:hAnsi="Garamond" w:cs="Garamond"/>
          <w:i/>
          <w:iCs/>
          <w:sz w:val="22"/>
          <w:szCs w:val="22"/>
          <w:lang w:val="en-US"/>
        </w:rPr>
        <w:t>Fifth</w:t>
      </w:r>
      <w:r>
        <w:rPr>
          <w:rFonts w:hint="default" w:ascii="Garamond" w:hAnsi="Garamond" w:cs="Garamond"/>
          <w:sz w:val="22"/>
          <w:szCs w:val="22"/>
          <w:lang w:val="en-US"/>
        </w:rPr>
        <w:t>, the researchers prioritized full-text articles that were accessible via open access.</w:t>
      </w:r>
    </w:p>
    <w:p w14:paraId="0407606D">
      <w:pPr>
        <w:spacing w:line="240" w:lineRule="auto"/>
        <w:jc w:val="both"/>
        <w:rPr>
          <w:rFonts w:hint="default" w:ascii="Garamond" w:hAnsi="Garamond" w:cs="Garamond"/>
          <w:b/>
          <w:sz w:val="22"/>
          <w:szCs w:val="22"/>
          <w:lang w:val="en-US"/>
        </w:rPr>
      </w:pPr>
      <w:r>
        <w:rPr>
          <w:rFonts w:hint="default" w:ascii="Garamond" w:hAnsi="Garamond" w:cs="Garamond"/>
          <w:b/>
          <w:sz w:val="22"/>
          <w:szCs w:val="22"/>
          <w:lang w:val="en-US"/>
        </w:rPr>
        <w:t>Eligibility Screening and Assessment</w:t>
      </w:r>
    </w:p>
    <w:p w14:paraId="2A0AEAB9">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 xml:space="preserve">In the process of systematic planning used Publish and Perish 8 with the 3 categories of entrepreneurial potential of tourism villages on the Scopus database, entrepreneurial potential of tourism villages on Google Scholar, and entrepreneurial potential of tourism villages in Bantul Regency on Google Scholar. </w:t>
      </w:r>
      <w:r>
        <w:rPr>
          <w:rFonts w:hint="default" w:ascii="Garamond" w:hAnsi="Garamond" w:cs="Garamond"/>
          <w:b/>
          <w:sz w:val="22"/>
          <w:szCs w:val="22"/>
          <w:lang w:val="en-US"/>
        </w:rPr>
        <w:t>Table 1</w:t>
      </w:r>
      <w:r>
        <w:rPr>
          <w:rFonts w:hint="default" w:ascii="Garamond" w:hAnsi="Garamond" w:cs="Garamond"/>
          <w:sz w:val="22"/>
          <w:szCs w:val="22"/>
          <w:lang w:val="en-US"/>
        </w:rPr>
        <w:t xml:space="preserve"> presents the results during 2015 to 2025.</w:t>
      </w:r>
    </w:p>
    <w:p w14:paraId="7FDB8CBA">
      <w:pPr>
        <w:spacing w:line="240" w:lineRule="auto"/>
        <w:jc w:val="both"/>
        <w:rPr>
          <w:rFonts w:hint="default" w:ascii="Garamond" w:hAnsi="Garamond" w:cs="Garamond"/>
          <w:b/>
          <w:sz w:val="22"/>
          <w:szCs w:val="22"/>
          <w:lang w:val="en-US"/>
        </w:rPr>
      </w:pPr>
      <w:r>
        <w:rPr>
          <w:rFonts w:hint="default" w:ascii="Garamond" w:hAnsi="Garamond" w:cs="Garamond"/>
          <w:b/>
          <w:sz w:val="22"/>
          <w:szCs w:val="22"/>
          <w:lang w:val="en-US"/>
        </w:rPr>
        <w:t xml:space="preserve">Table 1. </w:t>
      </w:r>
      <w:r>
        <w:rPr>
          <w:rFonts w:hint="default" w:ascii="Garamond" w:hAnsi="Garamond" w:cs="Garamond"/>
          <w:sz w:val="22"/>
          <w:szCs w:val="22"/>
          <w:lang w:val="en-US"/>
        </w:rPr>
        <w:t>The results during 2015 and 2025</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5844"/>
        <w:gridCol w:w="1843"/>
        <w:gridCol w:w="799"/>
      </w:tblGrid>
      <w:tr w14:paraId="7637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0" w:type="dxa"/>
            <w:shd w:val="clear" w:color="auto" w:fill="auto"/>
          </w:tcPr>
          <w:p w14:paraId="24B2AD63">
            <w:pPr>
              <w:spacing w:after="0" w:line="240" w:lineRule="auto"/>
              <w:jc w:val="center"/>
              <w:rPr>
                <w:rFonts w:hint="default" w:ascii="Garamond" w:hAnsi="Garamond" w:cs="Garamond"/>
                <w:b/>
                <w:kern w:val="0"/>
                <w:sz w:val="22"/>
                <w:szCs w:val="22"/>
                <w:lang w:val="en-US"/>
                <w14:ligatures w14:val="none"/>
              </w:rPr>
            </w:pPr>
            <w:r>
              <w:rPr>
                <w:rFonts w:hint="default" w:ascii="Garamond" w:hAnsi="Garamond" w:cs="Garamond"/>
                <w:b/>
                <w:kern w:val="0"/>
                <w:sz w:val="22"/>
                <w:szCs w:val="22"/>
                <w:lang w:val="en-US"/>
                <w14:ligatures w14:val="none"/>
              </w:rPr>
              <w:t>No</w:t>
            </w:r>
          </w:p>
        </w:tc>
        <w:tc>
          <w:tcPr>
            <w:tcW w:w="5844" w:type="dxa"/>
            <w:shd w:val="clear" w:color="auto" w:fill="auto"/>
          </w:tcPr>
          <w:p w14:paraId="75B28581">
            <w:pPr>
              <w:spacing w:after="0" w:line="240" w:lineRule="auto"/>
              <w:jc w:val="center"/>
              <w:rPr>
                <w:rFonts w:hint="default" w:ascii="Garamond" w:hAnsi="Garamond" w:cs="Garamond"/>
                <w:b/>
                <w:kern w:val="0"/>
                <w:sz w:val="22"/>
                <w:szCs w:val="22"/>
                <w:lang w:val="en-US"/>
                <w14:ligatures w14:val="none"/>
              </w:rPr>
            </w:pPr>
            <w:r>
              <w:rPr>
                <w:rFonts w:hint="default" w:ascii="Garamond" w:hAnsi="Garamond" w:cs="Garamond"/>
                <w:b/>
                <w:kern w:val="0"/>
                <w:sz w:val="22"/>
                <w:szCs w:val="22"/>
                <w:lang w:val="en-US"/>
                <w14:ligatures w14:val="none"/>
              </w:rPr>
              <w:t>Category</w:t>
            </w:r>
          </w:p>
        </w:tc>
        <w:tc>
          <w:tcPr>
            <w:tcW w:w="1843" w:type="dxa"/>
            <w:shd w:val="clear" w:color="auto" w:fill="auto"/>
          </w:tcPr>
          <w:p w14:paraId="5CB89E32">
            <w:pPr>
              <w:spacing w:after="0" w:line="240" w:lineRule="auto"/>
              <w:jc w:val="center"/>
              <w:rPr>
                <w:rFonts w:hint="default" w:ascii="Garamond" w:hAnsi="Garamond" w:cs="Garamond"/>
                <w:b/>
                <w:kern w:val="0"/>
                <w:sz w:val="22"/>
                <w:szCs w:val="22"/>
                <w:lang w:val="en-US"/>
                <w14:ligatures w14:val="none"/>
              </w:rPr>
            </w:pPr>
            <w:r>
              <w:rPr>
                <w:rFonts w:hint="default" w:ascii="Garamond" w:hAnsi="Garamond" w:cs="Garamond"/>
                <w:b/>
                <w:kern w:val="0"/>
                <w:sz w:val="22"/>
                <w:szCs w:val="22"/>
                <w:lang w:val="en-US"/>
                <w14:ligatures w14:val="none"/>
              </w:rPr>
              <w:t>Database</w:t>
            </w:r>
          </w:p>
        </w:tc>
        <w:tc>
          <w:tcPr>
            <w:tcW w:w="799" w:type="dxa"/>
            <w:shd w:val="clear" w:color="auto" w:fill="auto"/>
          </w:tcPr>
          <w:p w14:paraId="3199D96E">
            <w:pPr>
              <w:spacing w:after="0" w:line="240" w:lineRule="auto"/>
              <w:jc w:val="center"/>
              <w:rPr>
                <w:rFonts w:hint="default" w:ascii="Garamond" w:hAnsi="Garamond" w:cs="Garamond"/>
                <w:b/>
                <w:kern w:val="0"/>
                <w:sz w:val="22"/>
                <w:szCs w:val="22"/>
                <w:lang w:val="en-US"/>
                <w14:ligatures w14:val="none"/>
              </w:rPr>
            </w:pPr>
            <w:r>
              <w:rPr>
                <w:rFonts w:hint="default" w:ascii="Garamond" w:hAnsi="Garamond" w:cs="Garamond"/>
                <w:b/>
                <w:kern w:val="0"/>
                <w:sz w:val="22"/>
                <w:szCs w:val="22"/>
                <w:lang w:val="en-US"/>
                <w14:ligatures w14:val="none"/>
              </w:rPr>
              <w:t>Number</w:t>
            </w:r>
          </w:p>
        </w:tc>
      </w:tr>
      <w:tr w14:paraId="6BB3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shd w:val="clear" w:color="auto" w:fill="auto"/>
          </w:tcPr>
          <w:p w14:paraId="393BDCA4">
            <w:pPr>
              <w:pStyle w:val="30"/>
              <w:numPr>
                <w:ilvl w:val="0"/>
                <w:numId w:val="3"/>
              </w:numPr>
              <w:spacing w:after="0" w:line="240" w:lineRule="auto"/>
              <w:ind w:left="313" w:hanging="313"/>
              <w:jc w:val="center"/>
              <w:rPr>
                <w:rFonts w:hint="default" w:ascii="Garamond" w:hAnsi="Garamond" w:cs="Garamond"/>
                <w:kern w:val="0"/>
                <w:sz w:val="22"/>
                <w:szCs w:val="22"/>
                <w:lang w:val="en-US"/>
                <w14:ligatures w14:val="none"/>
              </w:rPr>
            </w:pPr>
          </w:p>
        </w:tc>
        <w:tc>
          <w:tcPr>
            <w:tcW w:w="5844" w:type="dxa"/>
            <w:shd w:val="clear" w:color="auto" w:fill="auto"/>
          </w:tcPr>
          <w:p w14:paraId="488C63E8">
            <w:pPr>
              <w:spacing w:after="0" w:line="240" w:lineRule="auto"/>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entrepreneurial potential of tourism villages</w:t>
            </w:r>
          </w:p>
        </w:tc>
        <w:tc>
          <w:tcPr>
            <w:tcW w:w="1843" w:type="dxa"/>
            <w:shd w:val="clear" w:color="auto" w:fill="auto"/>
          </w:tcPr>
          <w:p w14:paraId="4CE19D70">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Scopus</w:t>
            </w:r>
          </w:p>
        </w:tc>
        <w:tc>
          <w:tcPr>
            <w:tcW w:w="799" w:type="dxa"/>
            <w:shd w:val="clear" w:color="auto" w:fill="auto"/>
          </w:tcPr>
          <w:p w14:paraId="0661A995">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78</w:t>
            </w:r>
          </w:p>
        </w:tc>
      </w:tr>
      <w:tr w14:paraId="5B0E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shd w:val="clear" w:color="auto" w:fill="auto"/>
          </w:tcPr>
          <w:p w14:paraId="5DB923B6">
            <w:pPr>
              <w:pStyle w:val="30"/>
              <w:numPr>
                <w:ilvl w:val="0"/>
                <w:numId w:val="3"/>
              </w:numPr>
              <w:spacing w:after="0" w:line="240" w:lineRule="auto"/>
              <w:ind w:left="313" w:hanging="313"/>
              <w:jc w:val="center"/>
              <w:rPr>
                <w:rFonts w:hint="default" w:ascii="Garamond" w:hAnsi="Garamond" w:cs="Garamond"/>
                <w:kern w:val="0"/>
                <w:sz w:val="22"/>
                <w:szCs w:val="22"/>
                <w:lang w:val="en-US"/>
                <w14:ligatures w14:val="none"/>
              </w:rPr>
            </w:pPr>
          </w:p>
        </w:tc>
        <w:tc>
          <w:tcPr>
            <w:tcW w:w="5844" w:type="dxa"/>
            <w:shd w:val="clear" w:color="auto" w:fill="auto"/>
          </w:tcPr>
          <w:p w14:paraId="229BE80B">
            <w:pPr>
              <w:spacing w:after="0" w:line="240" w:lineRule="auto"/>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entrepreneurial potential of tourism villages</w:t>
            </w:r>
          </w:p>
        </w:tc>
        <w:tc>
          <w:tcPr>
            <w:tcW w:w="1843" w:type="dxa"/>
            <w:shd w:val="clear" w:color="auto" w:fill="auto"/>
          </w:tcPr>
          <w:p w14:paraId="5221A930">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Google Scholar</w:t>
            </w:r>
          </w:p>
        </w:tc>
        <w:tc>
          <w:tcPr>
            <w:tcW w:w="799" w:type="dxa"/>
            <w:shd w:val="clear" w:color="auto" w:fill="auto"/>
          </w:tcPr>
          <w:p w14:paraId="7064834E">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103</w:t>
            </w:r>
          </w:p>
        </w:tc>
      </w:tr>
      <w:tr w14:paraId="4855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dxa"/>
            <w:shd w:val="clear" w:color="auto" w:fill="auto"/>
          </w:tcPr>
          <w:p w14:paraId="4D6B2FD9">
            <w:pPr>
              <w:pStyle w:val="30"/>
              <w:numPr>
                <w:ilvl w:val="0"/>
                <w:numId w:val="3"/>
              </w:numPr>
              <w:spacing w:after="0" w:line="240" w:lineRule="auto"/>
              <w:ind w:left="313" w:hanging="313"/>
              <w:jc w:val="center"/>
              <w:rPr>
                <w:rFonts w:hint="default" w:ascii="Garamond" w:hAnsi="Garamond" w:cs="Garamond"/>
                <w:kern w:val="0"/>
                <w:sz w:val="22"/>
                <w:szCs w:val="22"/>
                <w:lang w:val="en-US"/>
                <w14:ligatures w14:val="none"/>
              </w:rPr>
            </w:pPr>
          </w:p>
        </w:tc>
        <w:tc>
          <w:tcPr>
            <w:tcW w:w="5844" w:type="dxa"/>
            <w:shd w:val="clear" w:color="auto" w:fill="auto"/>
          </w:tcPr>
          <w:p w14:paraId="2417787E">
            <w:pPr>
              <w:spacing w:after="0" w:line="240" w:lineRule="auto"/>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entrepreneurial potential of tourism villages in Bantul Regency</w:t>
            </w:r>
          </w:p>
        </w:tc>
        <w:tc>
          <w:tcPr>
            <w:tcW w:w="1843" w:type="dxa"/>
            <w:shd w:val="clear" w:color="auto" w:fill="auto"/>
          </w:tcPr>
          <w:p w14:paraId="33763963">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Google Scholar</w:t>
            </w:r>
          </w:p>
        </w:tc>
        <w:tc>
          <w:tcPr>
            <w:tcW w:w="799" w:type="dxa"/>
            <w:shd w:val="clear" w:color="auto" w:fill="auto"/>
          </w:tcPr>
          <w:p w14:paraId="59846CF8">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87</w:t>
            </w:r>
          </w:p>
        </w:tc>
      </w:tr>
      <w:tr w14:paraId="1C83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7" w:type="dxa"/>
            <w:gridSpan w:val="3"/>
            <w:shd w:val="clear" w:color="auto" w:fill="auto"/>
          </w:tcPr>
          <w:p w14:paraId="29CC49BA">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Total</w:t>
            </w:r>
          </w:p>
        </w:tc>
        <w:tc>
          <w:tcPr>
            <w:tcW w:w="799" w:type="dxa"/>
            <w:shd w:val="clear" w:color="auto" w:fill="auto"/>
          </w:tcPr>
          <w:p w14:paraId="1D35301A">
            <w:pPr>
              <w:spacing w:after="0" w:line="240" w:lineRule="auto"/>
              <w:jc w:val="center"/>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268</w:t>
            </w:r>
          </w:p>
        </w:tc>
      </w:tr>
    </w:tbl>
    <w:p w14:paraId="6A841132">
      <w:pPr>
        <w:spacing w:line="240" w:lineRule="auto"/>
        <w:jc w:val="both"/>
        <w:rPr>
          <w:rFonts w:hint="default" w:ascii="Garamond" w:hAnsi="Garamond" w:cs="Garamond"/>
          <w:sz w:val="22"/>
          <w:szCs w:val="22"/>
          <w:lang w:val="en-US"/>
        </w:rPr>
      </w:pPr>
    </w:p>
    <w:p w14:paraId="3FC026CE">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Following the mentioned criteria, the researchers conducted an analysis and gathered a total of 268 research articles. These articles were initially stored in a folder within the Zotero Reference Manager. Subsequently, they were converted to 'RIS' formats and subsequently selected by PRISMA analysis using inclusion and exclusion criteria for VOSviewer analysis and SLR investigation.</w:t>
      </w:r>
    </w:p>
    <w:p w14:paraId="499D87CC">
      <w:pPr>
        <w:spacing w:line="240" w:lineRule="auto"/>
        <w:jc w:val="both"/>
        <w:rPr>
          <w:rFonts w:hint="default" w:ascii="Garamond" w:hAnsi="Garamond" w:cs="Garamond"/>
          <w:b/>
          <w:sz w:val="22"/>
          <w:szCs w:val="22"/>
          <w:lang w:val="en-US"/>
        </w:rPr>
      </w:pPr>
      <w:r>
        <w:rPr>
          <w:rFonts w:hint="default" w:ascii="Garamond" w:hAnsi="Garamond" w:cs="Garamond"/>
          <w:b/>
          <w:sz w:val="22"/>
          <w:szCs w:val="22"/>
          <w:lang w:val="en-US"/>
        </w:rPr>
        <w:t>PRISMA Analysis</w:t>
      </w:r>
    </w:p>
    <w:p w14:paraId="3B6F8A95">
      <w:pPr>
        <w:spacing w:line="240" w:lineRule="auto"/>
        <w:ind w:firstLine="567"/>
        <w:jc w:val="both"/>
        <w:rPr>
          <w:rFonts w:hint="default" w:ascii="Garamond" w:hAnsi="Garamond" w:cs="Garamond"/>
          <w:bCs/>
          <w:sz w:val="22"/>
          <w:szCs w:val="22"/>
          <w:lang w:val="en-US"/>
        </w:rPr>
      </w:pPr>
      <w:r>
        <w:rPr>
          <w:rFonts w:hint="default" w:ascii="Garamond" w:hAnsi="Garamond" w:cs="Garamond"/>
          <w:sz w:val="22"/>
          <w:szCs w:val="22"/>
          <w:lang w:val="en-US"/>
        </w:rPr>
        <w:t xml:space="preserve">The method of looking for scientific articles was divided down into a number of distinct areas. In the process of systematic planning used Publish and Perish 8 with the 3 categories of entrepreneurial potential of tourism villages on the Scopus database, entrepreneurial potential of tourism villages on Google Scholar, and entrepreneurial potential of tourism villages in Bantul Regency on Google Scholar. According to the data shown in </w:t>
      </w:r>
      <w:r>
        <w:rPr>
          <w:rFonts w:hint="default" w:ascii="Garamond" w:hAnsi="Garamond" w:cs="Garamond"/>
          <w:b/>
          <w:sz w:val="22"/>
          <w:szCs w:val="22"/>
          <w:lang w:val="en-US"/>
        </w:rPr>
        <w:t>Figure 1</w:t>
      </w:r>
      <w:r>
        <w:rPr>
          <w:rFonts w:hint="default" w:ascii="Garamond" w:hAnsi="Garamond" w:cs="Garamond"/>
          <w:sz w:val="22"/>
          <w:szCs w:val="22"/>
          <w:lang w:val="en-US"/>
        </w:rPr>
        <w:t>, the PRISMA analysis is summarized as follows.</w:t>
      </w:r>
    </w:p>
    <w:p w14:paraId="41243811">
      <w:pPr>
        <w:spacing w:line="240" w:lineRule="auto"/>
        <w:ind w:firstLine="720"/>
        <w:jc w:val="both"/>
        <w:rPr>
          <w:rFonts w:hint="default" w:ascii="Garamond" w:hAnsi="Garamond" w:cs="Garamond"/>
          <w:bCs/>
          <w:sz w:val="22"/>
          <w:szCs w:val="22"/>
          <w:lang w:val="en-US"/>
        </w:rPr>
      </w:pPr>
      <w:r>
        <w:rPr>
          <w:rFonts w:hint="default" w:ascii="Garamond" w:hAnsi="Garamond" w:cs="Garamond"/>
          <w:sz w:val="22"/>
          <w:szCs w:val="22"/>
          <w:lang w:val="en-US" w:eastAsia="id-ID"/>
        </w:rPr>
        <mc:AlternateContent>
          <mc:Choice Requires="wpg">
            <w:drawing>
              <wp:anchor distT="0" distB="0" distL="114300" distR="114300" simplePos="0" relativeHeight="251659264" behindDoc="0" locked="0" layoutInCell="1" allowOverlap="1">
                <wp:simplePos x="0" y="0"/>
                <wp:positionH relativeFrom="column">
                  <wp:posOffset>857885</wp:posOffset>
                </wp:positionH>
                <wp:positionV relativeFrom="paragraph">
                  <wp:posOffset>3810</wp:posOffset>
                </wp:positionV>
                <wp:extent cx="4046855" cy="4309110"/>
                <wp:effectExtent l="0" t="0" r="17145" b="8890"/>
                <wp:wrapNone/>
                <wp:docPr id="5" name="Group 5"/>
                <wp:cNvGraphicFramePr/>
                <a:graphic xmlns:a="http://schemas.openxmlformats.org/drawingml/2006/main">
                  <a:graphicData uri="http://schemas.microsoft.com/office/word/2010/wordprocessingGroup">
                    <wpg:wgp>
                      <wpg:cNvGrpSpPr/>
                      <wpg:grpSpPr>
                        <a:xfrm>
                          <a:off x="0" y="0"/>
                          <a:ext cx="4046855" cy="4309275"/>
                          <a:chOff x="0" y="0"/>
                          <a:chExt cx="5949537" cy="5463848"/>
                        </a:xfrm>
                      </wpg:grpSpPr>
                      <wps:wsp>
                        <wps:cNvPr id="6" name="Rectangle 6"/>
                        <wps:cNvSpPr>
                          <a:spLocks noChangeArrowheads="1"/>
                        </wps:cNvSpPr>
                        <wps:spPr bwMode="auto">
                          <a:xfrm>
                            <a:off x="0" y="0"/>
                            <a:ext cx="475013" cy="2161309"/>
                          </a:xfrm>
                          <a:prstGeom prst="rect">
                            <a:avLst/>
                          </a:prstGeom>
                          <a:noFill/>
                          <a:ln w="12700" algn="ctr">
                            <a:solidFill>
                              <a:schemeClr val="accent1">
                                <a:lumMod val="50000"/>
                                <a:lumOff val="0"/>
                              </a:schemeClr>
                            </a:solidFill>
                            <a:miter lim="800000"/>
                          </a:ln>
                        </wps:spPr>
                        <wps:txbx>
                          <w:txbxContent>
                            <w:p w14:paraId="25AC258F">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Identification</w:t>
                              </w:r>
                            </w:p>
                          </w:txbxContent>
                        </wps:txbx>
                        <wps:bodyPr rot="0" vert="vert270" wrap="square" lIns="91440" tIns="45720" rIns="91440" bIns="45720" anchor="ctr" anchorCtr="0" upright="1">
                          <a:noAutofit/>
                        </wps:bodyPr>
                      </wps:wsp>
                      <wps:wsp>
                        <wps:cNvPr id="7" name="Rectangle 7"/>
                        <wps:cNvSpPr>
                          <a:spLocks noChangeArrowheads="1"/>
                        </wps:cNvSpPr>
                        <wps:spPr bwMode="auto">
                          <a:xfrm>
                            <a:off x="676894" y="11876"/>
                            <a:ext cx="2078181" cy="831272"/>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69DF6F61">
                              <w:pPr>
                                <w:spacing w:line="240" w:lineRule="auto"/>
                                <w:jc w:val="center"/>
                                <w:rPr>
                                  <w:rFonts w:ascii="Times New Roman" w:hAnsi="Times New Roman"/>
                                  <w:sz w:val="14"/>
                                  <w:szCs w:val="14"/>
                                  <w:lang w:val="id-ID"/>
                                </w:rPr>
                              </w:pPr>
                              <w:r>
                                <w:rPr>
                                  <w:rFonts w:ascii="Times New Roman" w:hAnsi="Times New Roman"/>
                                  <w:sz w:val="14"/>
                                  <w:szCs w:val="14"/>
                                </w:rPr>
                                <w:t>Comprehensive data acquired from the Scopus and Google Scholar databases utilizing Publish and Perish 8.</w:t>
                              </w:r>
                              <w:r>
                                <w:rPr>
                                  <w:rFonts w:ascii="Times New Roman" w:hAnsi="Times New Roman"/>
                                  <w:sz w:val="14"/>
                                  <w:szCs w:val="14"/>
                                  <w:lang w:val="id-ID"/>
                                </w:rPr>
                                <w:t xml:space="preserve"> </w:t>
                              </w:r>
                              <w:r>
                                <w:rPr>
                                  <w:rFonts w:ascii="Times New Roman" w:hAnsi="Times New Roman"/>
                                  <w:sz w:val="14"/>
                                  <w:szCs w:val="14"/>
                                </w:rPr>
                                <w:t>(n=</w:t>
                              </w:r>
                              <w:r>
                                <w:rPr>
                                  <w:rFonts w:ascii="Times New Roman" w:hAnsi="Times New Roman"/>
                                  <w:sz w:val="14"/>
                                  <w:szCs w:val="14"/>
                                  <w:lang w:val="id-ID"/>
                                </w:rPr>
                                <w:t>268</w:t>
                              </w:r>
                              <w:r>
                                <w:rPr>
                                  <w:rFonts w:ascii="Times New Roman" w:hAnsi="Times New Roman"/>
                                  <w:sz w:val="14"/>
                                  <w:szCs w:val="14"/>
                                </w:rPr>
                                <w:t>)</w:t>
                              </w:r>
                            </w:p>
                          </w:txbxContent>
                        </wps:txbx>
                        <wps:bodyPr rot="0" vert="horz" wrap="square" lIns="91440" tIns="45720" rIns="91440" bIns="45720" anchor="ctr" anchorCtr="0" upright="1">
                          <a:noAutofit/>
                        </wps:bodyPr>
                      </wps:wsp>
                      <wps:wsp>
                        <wps:cNvPr id="8" name="Straight Arrow Connector 8"/>
                        <wps:cNvCnPr>
                          <a:cxnSpLocks noChangeShapeType="1"/>
                        </wps:cNvCnPr>
                        <wps:spPr bwMode="auto">
                          <a:xfrm>
                            <a:off x="1714995" y="855024"/>
                            <a:ext cx="0" cy="463138"/>
                          </a:xfrm>
                          <a:prstGeom prst="straightConnector1">
                            <a:avLst/>
                          </a:prstGeom>
                          <a:noFill/>
                          <a:ln w="12700" algn="ctr">
                            <a:solidFill>
                              <a:schemeClr val="dk1">
                                <a:lumMod val="100000"/>
                                <a:lumOff val="0"/>
                              </a:schemeClr>
                            </a:solidFill>
                            <a:miter lim="800000"/>
                            <a:tailEnd type="triangle" w="med" len="med"/>
                          </a:ln>
                        </wps:spPr>
                        <wps:bodyPr/>
                      </wps:wsp>
                      <wps:wsp>
                        <wps:cNvPr id="9" name="Rectangle 9"/>
                        <wps:cNvSpPr>
                          <a:spLocks noChangeArrowheads="1"/>
                        </wps:cNvSpPr>
                        <wps:spPr bwMode="auto">
                          <a:xfrm>
                            <a:off x="676894" y="1330037"/>
                            <a:ext cx="2078181" cy="831272"/>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3D6A4311">
                              <w:pPr>
                                <w:spacing w:line="240" w:lineRule="auto"/>
                                <w:jc w:val="center"/>
                                <w:rPr>
                                  <w:rFonts w:ascii="Times New Roman" w:hAnsi="Times New Roman" w:cs="Times New Roman"/>
                                  <w:sz w:val="14"/>
                                  <w:szCs w:val="14"/>
                                </w:rPr>
                              </w:pPr>
                              <w:r>
                                <w:rPr>
                                  <w:rFonts w:ascii="Times New Roman" w:hAnsi="Times New Roman" w:cs="Times New Roman"/>
                                  <w:sz w:val="14"/>
                                  <w:szCs w:val="14"/>
                                </w:rPr>
                                <w:t>Identified results which are the research articles. (n=160)</w:t>
                              </w:r>
                            </w:p>
                          </w:txbxContent>
                        </wps:txbx>
                        <wps:bodyPr rot="0" vert="horz" wrap="square" lIns="91440" tIns="45720" rIns="91440" bIns="45720" anchor="ctr" anchorCtr="0" upright="1">
                          <a:noAutofit/>
                        </wps:bodyPr>
                      </wps:wsp>
                      <wps:wsp>
                        <wps:cNvPr id="10" name="Rectangle 11"/>
                        <wps:cNvSpPr>
                          <a:spLocks noChangeArrowheads="1"/>
                        </wps:cNvSpPr>
                        <wps:spPr bwMode="auto">
                          <a:xfrm>
                            <a:off x="3871356" y="697032"/>
                            <a:ext cx="2078181" cy="718423"/>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24D3F262">
                              <w:pPr>
                                <w:spacing w:line="240" w:lineRule="auto"/>
                                <w:jc w:val="center"/>
                                <w:rPr>
                                  <w:rFonts w:ascii="Times New Roman" w:hAnsi="Times New Roman" w:cs="Times New Roman"/>
                                  <w:sz w:val="14"/>
                                  <w:szCs w:val="14"/>
                                  <w:lang w:val="id-ID"/>
                                </w:rPr>
                              </w:pPr>
                              <w:r>
                                <w:rPr>
                                  <w:rFonts w:ascii="Times New Roman" w:hAnsi="Times New Roman" w:cs="Times New Roman"/>
                                  <w:sz w:val="14"/>
                                  <w:szCs w:val="14"/>
                                  <w:lang w:val="id-ID"/>
                                </w:rPr>
                                <w:t>The data</w:t>
                              </w:r>
                              <w:r>
                                <w:rPr>
                                  <w:rFonts w:ascii="Times New Roman" w:hAnsi="Times New Roman" w:cs="Times New Roman"/>
                                  <w:sz w:val="14"/>
                                  <w:szCs w:val="14"/>
                                </w:rPr>
                                <w:t xml:space="preserve"> which are not research articles</w:t>
                              </w:r>
                              <w:r>
                                <w:rPr>
                                  <w:rFonts w:ascii="Times New Roman" w:hAnsi="Times New Roman" w:cs="Times New Roman"/>
                                  <w:sz w:val="14"/>
                                  <w:szCs w:val="14"/>
                                  <w:lang w:val="id-ID"/>
                                </w:rPr>
                                <w:t xml:space="preserve">. </w:t>
                              </w:r>
                              <w:r>
                                <w:rPr>
                                  <w:rFonts w:ascii="Times New Roman" w:hAnsi="Times New Roman" w:cs="Times New Roman"/>
                                  <w:sz w:val="14"/>
                                  <w:szCs w:val="14"/>
                                </w:rPr>
                                <w:t>(n=</w:t>
                              </w:r>
                              <w:r>
                                <w:rPr>
                                  <w:rFonts w:ascii="Times New Roman" w:hAnsi="Times New Roman" w:cs="Times New Roman"/>
                                  <w:sz w:val="14"/>
                                  <w:szCs w:val="14"/>
                                  <w:lang w:val="id-ID"/>
                                </w:rPr>
                                <w:t>108</w:t>
                              </w:r>
                              <w:r>
                                <w:rPr>
                                  <w:rFonts w:ascii="Times New Roman" w:hAnsi="Times New Roman" w:cs="Times New Roman"/>
                                  <w:sz w:val="14"/>
                                  <w:szCs w:val="14"/>
                                </w:rPr>
                                <w:t>)</w:t>
                              </w:r>
                            </w:p>
                          </w:txbxContent>
                        </wps:txbx>
                        <wps:bodyPr rot="0" vert="horz" wrap="square" lIns="91440" tIns="45720" rIns="91440" bIns="45720" anchor="ctr" anchorCtr="0" upright="1">
                          <a:noAutofit/>
                        </wps:bodyPr>
                      </wps:wsp>
                      <wps:wsp>
                        <wps:cNvPr id="11" name="Straight Arrow Connector 12"/>
                        <wps:cNvCnPr>
                          <a:cxnSpLocks noChangeShapeType="1"/>
                        </wps:cNvCnPr>
                        <wps:spPr bwMode="auto">
                          <a:xfrm>
                            <a:off x="1706787" y="2149434"/>
                            <a:ext cx="0" cy="463138"/>
                          </a:xfrm>
                          <a:prstGeom prst="straightConnector1">
                            <a:avLst/>
                          </a:prstGeom>
                          <a:noFill/>
                          <a:ln w="12700" algn="ctr">
                            <a:solidFill>
                              <a:schemeClr val="dk1">
                                <a:lumMod val="100000"/>
                                <a:lumOff val="0"/>
                              </a:schemeClr>
                            </a:solidFill>
                            <a:miter lim="800000"/>
                            <a:tailEnd type="triangle" w="med" len="med"/>
                          </a:ln>
                        </wps:spPr>
                        <wps:bodyPr/>
                      </wps:wsp>
                      <wps:wsp>
                        <wps:cNvPr id="12" name="Rectangle 13"/>
                        <wps:cNvSpPr>
                          <a:spLocks noChangeArrowheads="1"/>
                        </wps:cNvSpPr>
                        <wps:spPr bwMode="auto">
                          <a:xfrm>
                            <a:off x="665019" y="2618329"/>
                            <a:ext cx="2078181" cy="538163"/>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1C643F7E">
                              <w:pPr>
                                <w:spacing w:line="240" w:lineRule="auto"/>
                                <w:jc w:val="center"/>
                                <w:rPr>
                                  <w:rFonts w:ascii="Times New Roman" w:hAnsi="Times New Roman" w:cs="Times New Roman"/>
                                  <w:sz w:val="14"/>
                                  <w:szCs w:val="14"/>
                                </w:rPr>
                              </w:pPr>
                              <w:r>
                                <w:rPr>
                                  <w:rFonts w:ascii="Times New Roman" w:hAnsi="Times New Roman" w:cs="Times New Roman"/>
                                  <w:sz w:val="14"/>
                                  <w:szCs w:val="14"/>
                                  <w:lang w:val="id-ID"/>
                                </w:rPr>
                                <w:t xml:space="preserve">The </w:t>
                              </w:r>
                              <w:r>
                                <w:rPr>
                                  <w:rFonts w:ascii="Times New Roman" w:hAnsi="Times New Roman" w:cs="Times New Roman"/>
                                  <w:sz w:val="14"/>
                                  <w:szCs w:val="14"/>
                                </w:rPr>
                                <w:t>filtered articles. (n=</w:t>
                              </w:r>
                              <w:r>
                                <w:rPr>
                                  <w:rFonts w:ascii="Times New Roman" w:hAnsi="Times New Roman" w:cs="Times New Roman"/>
                                  <w:sz w:val="14"/>
                                  <w:szCs w:val="14"/>
                                  <w:lang w:val="id-ID"/>
                                </w:rPr>
                                <w:t>97</w:t>
                              </w:r>
                              <w:r>
                                <w:rPr>
                                  <w:rFonts w:ascii="Times New Roman" w:hAnsi="Times New Roman" w:cs="Times New Roman"/>
                                  <w:sz w:val="14"/>
                                  <w:szCs w:val="14"/>
                                </w:rPr>
                                <w:t>)</w:t>
                              </w:r>
                            </w:p>
                          </w:txbxContent>
                        </wps:txbx>
                        <wps:bodyPr rot="0" vert="horz" wrap="square" lIns="91440" tIns="45720" rIns="91440" bIns="45720" anchor="ctr" anchorCtr="0" upright="1">
                          <a:noAutofit/>
                        </wps:bodyPr>
                      </wps:wsp>
                      <wps:wsp>
                        <wps:cNvPr id="13" name="Rectangle 14"/>
                        <wps:cNvSpPr>
                          <a:spLocks noChangeArrowheads="1"/>
                        </wps:cNvSpPr>
                        <wps:spPr bwMode="auto">
                          <a:xfrm>
                            <a:off x="3863049" y="2038563"/>
                            <a:ext cx="2086488" cy="677823"/>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773E7CEF">
                              <w:pPr>
                                <w:jc w:val="center"/>
                                <w:rPr>
                                  <w:rFonts w:ascii="Times New Roman" w:hAnsi="Times New Roman" w:cs="Times New Roman"/>
                                  <w:sz w:val="14"/>
                                  <w:szCs w:val="14"/>
                                  <w:lang w:val="id-ID"/>
                                </w:rPr>
                              </w:pPr>
                              <w:r>
                                <w:rPr>
                                  <w:rFonts w:ascii="Times New Roman" w:hAnsi="Times New Roman" w:cs="Times New Roman"/>
                                  <w:sz w:val="14"/>
                                  <w:szCs w:val="14"/>
                                </w:rPr>
                                <w:t>The reduced articles are due to a lack of alignment with the categories.</w:t>
                              </w:r>
                              <w:r>
                                <w:rPr>
                                  <w:rFonts w:ascii="Times New Roman" w:hAnsi="Times New Roman" w:cs="Times New Roman"/>
                                  <w:sz w:val="14"/>
                                  <w:szCs w:val="14"/>
                                  <w:lang w:val="id-ID"/>
                                </w:rPr>
                                <w:t xml:space="preserve"> </w:t>
                              </w:r>
                              <w:r>
                                <w:rPr>
                                  <w:rFonts w:ascii="Times New Roman" w:hAnsi="Times New Roman" w:cs="Times New Roman"/>
                                  <w:sz w:val="14"/>
                                  <w:szCs w:val="14"/>
                                </w:rPr>
                                <w:t>(n=63)</w:t>
                              </w:r>
                            </w:p>
                          </w:txbxContent>
                        </wps:txbx>
                        <wps:bodyPr rot="0" vert="horz" wrap="square" lIns="91440" tIns="45720" rIns="91440" bIns="45720" anchor="ctr" anchorCtr="0" upright="1">
                          <a:noAutofit/>
                        </wps:bodyPr>
                      </wps:wsp>
                      <wps:wsp>
                        <wps:cNvPr id="14" name="Rectangle 15"/>
                        <wps:cNvSpPr>
                          <a:spLocks noChangeArrowheads="1"/>
                        </wps:cNvSpPr>
                        <wps:spPr bwMode="auto">
                          <a:xfrm>
                            <a:off x="0" y="2214118"/>
                            <a:ext cx="474980" cy="942131"/>
                          </a:xfrm>
                          <a:prstGeom prst="rect">
                            <a:avLst/>
                          </a:prstGeom>
                          <a:noFill/>
                          <a:ln w="12700" algn="ctr">
                            <a:solidFill>
                              <a:schemeClr val="accent1">
                                <a:lumMod val="50000"/>
                                <a:lumOff val="0"/>
                              </a:schemeClr>
                            </a:solidFill>
                            <a:miter lim="800000"/>
                          </a:ln>
                        </wps:spPr>
                        <wps:txbx>
                          <w:txbxContent>
                            <w:p w14:paraId="7FCFEE45">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Filtering</w:t>
                              </w:r>
                            </w:p>
                          </w:txbxContent>
                        </wps:txbx>
                        <wps:bodyPr rot="0" vert="vert270" wrap="square" lIns="91440" tIns="45720" rIns="91440" bIns="45720" anchor="ctr" anchorCtr="0" upright="1">
                          <a:noAutofit/>
                        </wps:bodyPr>
                      </wps:wsp>
                      <wps:wsp>
                        <wps:cNvPr id="15" name="Straight Arrow Connector 16"/>
                        <wps:cNvCnPr>
                          <a:cxnSpLocks noChangeShapeType="1"/>
                        </wps:cNvCnPr>
                        <wps:spPr bwMode="auto">
                          <a:xfrm>
                            <a:off x="1712018" y="3163424"/>
                            <a:ext cx="0" cy="462915"/>
                          </a:xfrm>
                          <a:prstGeom prst="straightConnector1">
                            <a:avLst/>
                          </a:prstGeom>
                          <a:noFill/>
                          <a:ln w="12700" algn="ctr">
                            <a:solidFill>
                              <a:schemeClr val="dk1">
                                <a:lumMod val="100000"/>
                                <a:lumOff val="0"/>
                              </a:schemeClr>
                            </a:solidFill>
                            <a:miter lim="800000"/>
                            <a:tailEnd type="triangle" w="med" len="med"/>
                          </a:ln>
                        </wps:spPr>
                        <wps:bodyPr/>
                      </wps:wsp>
                      <wps:wsp>
                        <wps:cNvPr id="16" name="Rectangle 17"/>
                        <wps:cNvSpPr>
                          <a:spLocks noChangeArrowheads="1"/>
                        </wps:cNvSpPr>
                        <wps:spPr bwMode="auto">
                          <a:xfrm>
                            <a:off x="665019" y="3631010"/>
                            <a:ext cx="2090056" cy="688769"/>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70F074B0">
                              <w:pPr>
                                <w:jc w:val="center"/>
                                <w:rPr>
                                  <w:rFonts w:ascii="Times New Roman" w:hAnsi="Times New Roman" w:cs="Times New Roman"/>
                                  <w:sz w:val="14"/>
                                  <w:szCs w:val="14"/>
                                  <w:lang w:val="en-US"/>
                                </w:rPr>
                              </w:pPr>
                              <w:r>
                                <w:rPr>
                                  <w:rFonts w:ascii="Times New Roman" w:hAnsi="Times New Roman" w:cs="Times New Roman"/>
                                  <w:sz w:val="14"/>
                                  <w:szCs w:val="14"/>
                                  <w:lang w:val="en-US"/>
                                </w:rPr>
                                <w:t>The eligible articles. (n=44)</w:t>
                              </w:r>
                            </w:p>
                          </w:txbxContent>
                        </wps:txbx>
                        <wps:bodyPr rot="0" vert="horz" wrap="square" lIns="91440" tIns="45720" rIns="91440" bIns="45720" anchor="ctr" anchorCtr="0" upright="1">
                          <a:noAutofit/>
                        </wps:bodyPr>
                      </wps:wsp>
                      <wps:wsp>
                        <wps:cNvPr id="17" name="Straight Arrow Connector 18"/>
                        <wps:cNvCnPr>
                          <a:cxnSpLocks noChangeShapeType="1"/>
                        </wps:cNvCnPr>
                        <wps:spPr bwMode="auto">
                          <a:xfrm>
                            <a:off x="1706592" y="4322193"/>
                            <a:ext cx="0" cy="462915"/>
                          </a:xfrm>
                          <a:prstGeom prst="straightConnector1">
                            <a:avLst/>
                          </a:prstGeom>
                          <a:noFill/>
                          <a:ln w="12700" algn="ctr">
                            <a:solidFill>
                              <a:schemeClr val="dk1">
                                <a:lumMod val="100000"/>
                                <a:lumOff val="0"/>
                              </a:schemeClr>
                            </a:solidFill>
                            <a:miter lim="800000"/>
                            <a:tailEnd type="triangle" w="med" len="med"/>
                          </a:ln>
                        </wps:spPr>
                        <wps:bodyPr/>
                      </wps:wsp>
                      <wps:wsp>
                        <wps:cNvPr id="18" name="Rectangle 19"/>
                        <wps:cNvSpPr>
                          <a:spLocks noChangeArrowheads="1"/>
                        </wps:cNvSpPr>
                        <wps:spPr bwMode="auto">
                          <a:xfrm>
                            <a:off x="665019" y="4796969"/>
                            <a:ext cx="2087563" cy="666879"/>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40A79E28">
                              <w:pPr>
                                <w:jc w:val="center"/>
                                <w:rPr>
                                  <w:rFonts w:ascii="Times New Roman" w:hAnsi="Times New Roman" w:cs="Times New Roman"/>
                                  <w:sz w:val="14"/>
                                  <w:szCs w:val="14"/>
                                  <w:lang w:val="en-US"/>
                                </w:rPr>
                              </w:pPr>
                              <w:r>
                                <w:rPr>
                                  <w:rFonts w:ascii="Times New Roman" w:hAnsi="Times New Roman" w:cs="Times New Roman"/>
                                  <w:sz w:val="14"/>
                                  <w:szCs w:val="14"/>
                                  <w:lang w:val="en-US"/>
                                </w:rPr>
                                <w:t>The included articles. (n=41)</w:t>
                              </w:r>
                            </w:p>
                          </w:txbxContent>
                        </wps:txbx>
                        <wps:bodyPr rot="0" vert="horz" wrap="square" lIns="91440" tIns="45720" rIns="91440" bIns="45720" anchor="ctr" anchorCtr="0" upright="1">
                          <a:noAutofit/>
                        </wps:bodyPr>
                      </wps:wsp>
                      <wps:wsp>
                        <wps:cNvPr id="19" name="Rectangle 20"/>
                        <wps:cNvSpPr>
                          <a:spLocks noChangeArrowheads="1"/>
                        </wps:cNvSpPr>
                        <wps:spPr bwMode="auto">
                          <a:xfrm>
                            <a:off x="0" y="3228587"/>
                            <a:ext cx="474980" cy="1090789"/>
                          </a:xfrm>
                          <a:prstGeom prst="rect">
                            <a:avLst/>
                          </a:prstGeom>
                          <a:noFill/>
                          <a:ln w="12700" algn="ctr">
                            <a:solidFill>
                              <a:schemeClr val="accent1">
                                <a:lumMod val="50000"/>
                                <a:lumOff val="0"/>
                              </a:schemeClr>
                            </a:solidFill>
                            <a:miter lim="800000"/>
                          </a:ln>
                        </wps:spPr>
                        <wps:txbx>
                          <w:txbxContent>
                            <w:p w14:paraId="243E7D6D">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Eligibility</w:t>
                              </w:r>
                            </w:p>
                          </w:txbxContent>
                        </wps:txbx>
                        <wps:bodyPr rot="0" vert="vert270" wrap="square" lIns="91440" tIns="45720" rIns="91440" bIns="45720" anchor="ctr" anchorCtr="0" upright="1">
                          <a:noAutofit/>
                        </wps:bodyPr>
                      </wps:wsp>
                      <wps:wsp>
                        <wps:cNvPr id="20" name="Rectangle 21"/>
                        <wps:cNvSpPr>
                          <a:spLocks noChangeArrowheads="1"/>
                        </wps:cNvSpPr>
                        <wps:spPr bwMode="auto">
                          <a:xfrm>
                            <a:off x="0" y="4396032"/>
                            <a:ext cx="474980" cy="1067608"/>
                          </a:xfrm>
                          <a:prstGeom prst="rect">
                            <a:avLst/>
                          </a:prstGeom>
                          <a:noFill/>
                          <a:ln w="12700" algn="ctr">
                            <a:solidFill>
                              <a:schemeClr val="accent1">
                                <a:lumMod val="50000"/>
                                <a:lumOff val="0"/>
                              </a:schemeClr>
                            </a:solidFill>
                            <a:miter lim="800000"/>
                          </a:ln>
                        </wps:spPr>
                        <wps:txbx>
                          <w:txbxContent>
                            <w:p w14:paraId="1EC3CF25">
                              <w:pPr>
                                <w:jc w:val="center"/>
                                <w:rPr>
                                  <w:rFonts w:ascii="Times New Roman" w:hAnsi="Times New Roman" w:cs="Times New Roman"/>
                                  <w:color w:val="000000" w:themeColor="text1"/>
                                  <w:sz w:val="14"/>
                                  <w:szCs w:val="14"/>
                                  <w:lang w:val="en-US"/>
                                  <w14:textFill>
                                    <w14:solidFill>
                                      <w14:schemeClr w14:val="tx1"/>
                                    </w14:solidFill>
                                  </w14:textFill>
                                </w:rPr>
                              </w:pPr>
                              <w:r>
                                <w:rPr>
                                  <w:rFonts w:ascii="Times New Roman" w:hAnsi="Times New Roman" w:cs="Times New Roman"/>
                                  <w:color w:val="000000" w:themeColor="text1"/>
                                  <w:sz w:val="14"/>
                                  <w:szCs w:val="14"/>
                                  <w:lang w:val="en-US"/>
                                  <w14:textFill>
                                    <w14:solidFill>
                                      <w14:schemeClr w14:val="tx1"/>
                                    </w14:solidFill>
                                  </w14:textFill>
                                </w:rPr>
                                <w:t>Included</w:t>
                              </w:r>
                            </w:p>
                          </w:txbxContent>
                        </wps:txbx>
                        <wps:bodyPr rot="0" vert="vert270" wrap="square" lIns="91440" tIns="45720" rIns="91440" bIns="45720" anchor="ctr" anchorCtr="0" upright="1">
                          <a:noAutofit/>
                        </wps:bodyPr>
                      </wps:wsp>
                      <wps:wsp>
                        <wps:cNvPr id="21" name="Straight Arrow Connector 24"/>
                        <wps:cNvCnPr>
                          <a:cxnSpLocks noChangeShapeType="1"/>
                        </wps:cNvCnPr>
                        <wps:spPr bwMode="auto">
                          <a:xfrm>
                            <a:off x="1710047" y="1054207"/>
                            <a:ext cx="2156360" cy="0"/>
                          </a:xfrm>
                          <a:prstGeom prst="straightConnector1">
                            <a:avLst/>
                          </a:prstGeom>
                          <a:noFill/>
                          <a:ln w="12700" algn="ctr">
                            <a:solidFill>
                              <a:schemeClr val="dk1">
                                <a:lumMod val="100000"/>
                                <a:lumOff val="0"/>
                              </a:schemeClr>
                            </a:solidFill>
                            <a:miter lim="800000"/>
                            <a:tailEnd type="triangle" w="med" len="med"/>
                          </a:ln>
                        </wps:spPr>
                        <wps:bodyPr/>
                      </wps:wsp>
                    </wpg:wgp>
                  </a:graphicData>
                </a:graphic>
              </wp:anchor>
            </w:drawing>
          </mc:Choice>
          <mc:Fallback>
            <w:pict>
              <v:group id="_x0000_s1026" o:spid="_x0000_s1026" o:spt="203" style="position:absolute;left:0pt;margin-left:67.55pt;margin-top:0.3pt;height:339.3pt;width:318.65pt;z-index:251659264;mso-width-relative:page;mso-height-relative:page;" coordsize="5949537,5463848" o:gfxdata="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W5WBwNgAAAAIAQAADwAAAAAAAAABACAAAAAiAAAAZHJzL2Rvd25yZXYu&#10;eG1sUEsBAhQAFAAAAAgAh07iQPrzAS3EBQAAOTAAAA4AAAAAAAAAAQAgAAAAJwEAAGRycy9lMm9E&#10;b2MueG1sUEsFBgAAAAAGAAYAWQEAAF0JAAAAAA==&#10;">
                <o:lock v:ext="edit" aspectratio="f"/>
                <v:rect id="Rectangle 6" o:spid="_x0000_s1026" o:spt="1" style="position:absolute;left:0;top:0;height:2161309;width:475013;v-text-anchor:middle;" filled="f" stroked="t" coordsize="21600,21600" o:gfxdata="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YDMvQAA&#10;ANoAAAAPAAAAAAAAAAEAIAAAACIAAABkcnMvZG93bnJldi54bWxQSwECFAAUAAAACACHTuJAMy8F&#10;njsAAAA5AAAAEAAAAAAAAAABACAAAAAMAQAAZHJzL3NoYXBleG1sLnhtbFBLBQYAAAAABgAGAFsB&#10;AAC2AwAAAAA=&#10;">
                  <v:fill on="f" focussize="0,0"/>
                  <v:stroke weight="1pt" color="#203864 [3204]" miterlimit="8" joinstyle="miter"/>
                  <v:imagedata o:title=""/>
                  <o:lock v:ext="edit" aspectratio="f"/>
                  <v:textbox style="layout-flow:vertical;mso-layout-flow-alt:bottom-to-top;">
                    <w:txbxContent>
                      <w:p w14:paraId="25AC258F">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Identification</w:t>
                        </w:r>
                      </w:p>
                    </w:txbxContent>
                  </v:textbox>
                </v:rect>
                <v:rect id="Rectangle 7" o:spid="_x0000_s1026" o:spt="1" style="position:absolute;left:676894;top:11876;height:831272;width:2078181;v-text-anchor:middle;" fillcolor="#FFFFFF [3217]" filled="t" stroked="t" coordsize="21600,21600" o:gfxdata="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xarsAAADa&#10;AAAADwAAAAAAAAABACAAAAAiAAAAZHJzL2Rvd25yZXYueG1sUEsBAhQAFAAAAAgAh07iQDMvBZ47&#10;AAAAOQAAABAAAAAAAAAAAQAgAAAACgEAAGRycy9zaGFwZXhtbC54bWxQSwUGAAAAAAYABgBbAQAA&#10;tAMAAAAA&#10;">
                  <v:fill on="t" focussize="0,0"/>
                  <v:stroke weight="1pt" color="#000000 [3216]" miterlimit="8" joinstyle="miter"/>
                  <v:imagedata o:title=""/>
                  <o:lock v:ext="edit" aspectratio="f"/>
                  <v:textbox>
                    <w:txbxContent>
                      <w:p w14:paraId="69DF6F61">
                        <w:pPr>
                          <w:spacing w:line="240" w:lineRule="auto"/>
                          <w:jc w:val="center"/>
                          <w:rPr>
                            <w:rFonts w:ascii="Times New Roman" w:hAnsi="Times New Roman"/>
                            <w:sz w:val="14"/>
                            <w:szCs w:val="14"/>
                            <w:lang w:val="id-ID"/>
                          </w:rPr>
                        </w:pPr>
                        <w:r>
                          <w:rPr>
                            <w:rFonts w:ascii="Times New Roman" w:hAnsi="Times New Roman"/>
                            <w:sz w:val="14"/>
                            <w:szCs w:val="14"/>
                          </w:rPr>
                          <w:t>Comprehensive data acquired from the Scopus and Google Scholar databases utilizing Publish and Perish 8.</w:t>
                        </w:r>
                        <w:r>
                          <w:rPr>
                            <w:rFonts w:ascii="Times New Roman" w:hAnsi="Times New Roman"/>
                            <w:sz w:val="14"/>
                            <w:szCs w:val="14"/>
                            <w:lang w:val="id-ID"/>
                          </w:rPr>
                          <w:t xml:space="preserve"> </w:t>
                        </w:r>
                        <w:r>
                          <w:rPr>
                            <w:rFonts w:ascii="Times New Roman" w:hAnsi="Times New Roman"/>
                            <w:sz w:val="14"/>
                            <w:szCs w:val="14"/>
                          </w:rPr>
                          <w:t>(n=</w:t>
                        </w:r>
                        <w:r>
                          <w:rPr>
                            <w:rFonts w:ascii="Times New Roman" w:hAnsi="Times New Roman"/>
                            <w:sz w:val="14"/>
                            <w:szCs w:val="14"/>
                            <w:lang w:val="id-ID"/>
                          </w:rPr>
                          <w:t>268</w:t>
                        </w:r>
                        <w:r>
                          <w:rPr>
                            <w:rFonts w:ascii="Times New Roman" w:hAnsi="Times New Roman"/>
                            <w:sz w:val="14"/>
                            <w:szCs w:val="14"/>
                          </w:rPr>
                          <w:t>)</w:t>
                        </w:r>
                      </w:p>
                    </w:txbxContent>
                  </v:textbox>
                </v:rect>
                <v:shape id="_x0000_s1026" o:spid="_x0000_s1026" o:spt="32" type="#_x0000_t32" style="position:absolute;left:1714995;top:855024;height:463138;width:0;" filled="f" stroked="t" coordsize="21600,21600" o:gfxdata="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hZjrsAAADa&#10;AAAADwAAAAAAAAABACAAAAAiAAAAZHJzL2Rvd25yZXYueG1sUEsBAhQAFAAAAAgAh07iQDMvBZ47&#10;AAAAOQAAABAAAAAAAAAAAQAgAAAACgEAAGRycy9zaGFwZXhtbC54bWxQSwUGAAAAAAYABgBbAQAA&#10;tAMAAAAA&#10;">
                  <v:fill on="f" focussize="0,0"/>
                  <v:stroke weight="1pt" color="#000000 [3216]" miterlimit="8" joinstyle="miter" endarrow="block"/>
                  <v:imagedata o:title=""/>
                  <o:lock v:ext="edit" aspectratio="f"/>
                </v:shape>
                <v:rect id="Rectangle 9" o:spid="_x0000_s1026" o:spt="1" style="position:absolute;left:676894;top:1330037;height:831272;width:2078181;v-text-anchor:middle;" fillcolor="#FFFFFF [3217]" filled="t" stroked="t" coordsize="21600,21600" o:gfxdata="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kAg7sAAADa&#10;AAAADwAAAAAAAAABACAAAAAiAAAAZHJzL2Rvd25yZXYueG1sUEsBAhQAFAAAAAgAh07iQDMvBZ47&#10;AAAAOQAAABAAAAAAAAAAAQAgAAAACgEAAGRycy9zaGFwZXhtbC54bWxQSwUGAAAAAAYABgBbAQAA&#10;tAMAAAAA&#10;">
                  <v:fill on="t" focussize="0,0"/>
                  <v:stroke weight="1pt" color="#000000 [3216]" miterlimit="8" joinstyle="miter"/>
                  <v:imagedata o:title=""/>
                  <o:lock v:ext="edit" aspectratio="f"/>
                  <v:textbox>
                    <w:txbxContent>
                      <w:p w14:paraId="3D6A4311">
                        <w:pPr>
                          <w:spacing w:line="240" w:lineRule="auto"/>
                          <w:jc w:val="center"/>
                          <w:rPr>
                            <w:rFonts w:ascii="Times New Roman" w:hAnsi="Times New Roman" w:cs="Times New Roman"/>
                            <w:sz w:val="14"/>
                            <w:szCs w:val="14"/>
                          </w:rPr>
                        </w:pPr>
                        <w:r>
                          <w:rPr>
                            <w:rFonts w:ascii="Times New Roman" w:hAnsi="Times New Roman" w:cs="Times New Roman"/>
                            <w:sz w:val="14"/>
                            <w:szCs w:val="14"/>
                          </w:rPr>
                          <w:t>Identified results which are the research articles. (n=160)</w:t>
                        </w:r>
                      </w:p>
                    </w:txbxContent>
                  </v:textbox>
                </v:rect>
                <v:rect id="Rectangle 11" o:spid="_x0000_s1026" o:spt="1" style="position:absolute;left:3871356;top:697032;height:718423;width:2078181;v-text-anchor:middle;" fillcolor="#FFFFFF [3217]" filled="t" stroked="t" coordsize="21600,21600" o:gfxdata="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AIhvQAA&#10;ANsAAAAPAAAAAAAAAAEAIAAAACIAAABkcnMvZG93bnJldi54bWxQSwECFAAUAAAACACHTuJAMy8F&#10;njsAAAA5AAAAEAAAAAAAAAABACAAAAAMAQAAZHJzL3NoYXBleG1sLnhtbFBLBQYAAAAABgAGAFsB&#10;AAC2AwAAAAA=&#10;">
                  <v:fill on="t" focussize="0,0"/>
                  <v:stroke weight="1pt" color="#000000 [3216]" miterlimit="8" joinstyle="miter"/>
                  <v:imagedata o:title=""/>
                  <o:lock v:ext="edit" aspectratio="f"/>
                  <v:textbox>
                    <w:txbxContent>
                      <w:p w14:paraId="24D3F262">
                        <w:pPr>
                          <w:spacing w:line="240" w:lineRule="auto"/>
                          <w:jc w:val="center"/>
                          <w:rPr>
                            <w:rFonts w:ascii="Times New Roman" w:hAnsi="Times New Roman" w:cs="Times New Roman"/>
                            <w:sz w:val="14"/>
                            <w:szCs w:val="14"/>
                            <w:lang w:val="id-ID"/>
                          </w:rPr>
                        </w:pPr>
                        <w:r>
                          <w:rPr>
                            <w:rFonts w:ascii="Times New Roman" w:hAnsi="Times New Roman" w:cs="Times New Roman"/>
                            <w:sz w:val="14"/>
                            <w:szCs w:val="14"/>
                            <w:lang w:val="id-ID"/>
                          </w:rPr>
                          <w:t>The data</w:t>
                        </w:r>
                        <w:r>
                          <w:rPr>
                            <w:rFonts w:ascii="Times New Roman" w:hAnsi="Times New Roman" w:cs="Times New Roman"/>
                            <w:sz w:val="14"/>
                            <w:szCs w:val="14"/>
                          </w:rPr>
                          <w:t xml:space="preserve"> which are not research articles</w:t>
                        </w:r>
                        <w:r>
                          <w:rPr>
                            <w:rFonts w:ascii="Times New Roman" w:hAnsi="Times New Roman" w:cs="Times New Roman"/>
                            <w:sz w:val="14"/>
                            <w:szCs w:val="14"/>
                            <w:lang w:val="id-ID"/>
                          </w:rPr>
                          <w:t xml:space="preserve">. </w:t>
                        </w:r>
                        <w:r>
                          <w:rPr>
                            <w:rFonts w:ascii="Times New Roman" w:hAnsi="Times New Roman" w:cs="Times New Roman"/>
                            <w:sz w:val="14"/>
                            <w:szCs w:val="14"/>
                          </w:rPr>
                          <w:t>(n=</w:t>
                        </w:r>
                        <w:r>
                          <w:rPr>
                            <w:rFonts w:ascii="Times New Roman" w:hAnsi="Times New Roman" w:cs="Times New Roman"/>
                            <w:sz w:val="14"/>
                            <w:szCs w:val="14"/>
                            <w:lang w:val="id-ID"/>
                          </w:rPr>
                          <w:t>108</w:t>
                        </w:r>
                        <w:r>
                          <w:rPr>
                            <w:rFonts w:ascii="Times New Roman" w:hAnsi="Times New Roman" w:cs="Times New Roman"/>
                            <w:sz w:val="14"/>
                            <w:szCs w:val="14"/>
                          </w:rPr>
                          <w:t>)</w:t>
                        </w:r>
                      </w:p>
                    </w:txbxContent>
                  </v:textbox>
                </v:rect>
                <v:shape id="Straight Arrow Connector 12" o:spid="_x0000_s1026" o:spt="32" type="#_x0000_t32" style="position:absolute;left:1706787;top:2149434;height:463138;width:0;" filled="f" stroked="t" coordsize="21600,21600" o:gfxdata="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P4e2ugAAANsA&#10;AAAPAAAAAAAAAAEAIAAAACIAAABkcnMvZG93bnJldi54bWxQSwECFAAUAAAACACHTuJAMy8FnjsA&#10;AAA5AAAAEAAAAAAAAAABACAAAAAJAQAAZHJzL3NoYXBleG1sLnhtbFBLBQYAAAAABgAGAFsBAACz&#10;AwAAAAA=&#10;">
                  <v:fill on="f" focussize="0,0"/>
                  <v:stroke weight="1pt" color="#000000 [3216]" miterlimit="8" joinstyle="miter" endarrow="block"/>
                  <v:imagedata o:title=""/>
                  <o:lock v:ext="edit" aspectratio="f"/>
                </v:shape>
                <v:rect id="Rectangle 13" o:spid="_x0000_s1026" o:spt="1" style="position:absolute;left:665019;top:2618329;height:538163;width:2078181;v-text-anchor:middle;" fillcolor="#FFFFFF [3217]" filled="t" stroked="t" coordsize="21600,21600" o:gfxdata="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CjnNugAAANsA&#10;AAAPAAAAAAAAAAEAIAAAACIAAABkcnMvZG93bnJldi54bWxQSwECFAAUAAAACACHTuJAMy8FnjsA&#10;AAA5AAAAEAAAAAAAAAABACAAAAAJAQAAZHJzL3NoYXBleG1sLnhtbFBLBQYAAAAABgAGAFsBAACz&#10;AwAAAAA=&#10;">
                  <v:fill on="t" focussize="0,0"/>
                  <v:stroke weight="1pt" color="#000000 [3216]" miterlimit="8" joinstyle="miter"/>
                  <v:imagedata o:title=""/>
                  <o:lock v:ext="edit" aspectratio="f"/>
                  <v:textbox>
                    <w:txbxContent>
                      <w:p w14:paraId="1C643F7E">
                        <w:pPr>
                          <w:spacing w:line="240" w:lineRule="auto"/>
                          <w:jc w:val="center"/>
                          <w:rPr>
                            <w:rFonts w:ascii="Times New Roman" w:hAnsi="Times New Roman" w:cs="Times New Roman"/>
                            <w:sz w:val="14"/>
                            <w:szCs w:val="14"/>
                          </w:rPr>
                        </w:pPr>
                        <w:r>
                          <w:rPr>
                            <w:rFonts w:ascii="Times New Roman" w:hAnsi="Times New Roman" w:cs="Times New Roman"/>
                            <w:sz w:val="14"/>
                            <w:szCs w:val="14"/>
                            <w:lang w:val="id-ID"/>
                          </w:rPr>
                          <w:t xml:space="preserve">The </w:t>
                        </w:r>
                        <w:r>
                          <w:rPr>
                            <w:rFonts w:ascii="Times New Roman" w:hAnsi="Times New Roman" w:cs="Times New Roman"/>
                            <w:sz w:val="14"/>
                            <w:szCs w:val="14"/>
                          </w:rPr>
                          <w:t>filtered articles. (n=</w:t>
                        </w:r>
                        <w:r>
                          <w:rPr>
                            <w:rFonts w:ascii="Times New Roman" w:hAnsi="Times New Roman" w:cs="Times New Roman"/>
                            <w:sz w:val="14"/>
                            <w:szCs w:val="14"/>
                            <w:lang w:val="id-ID"/>
                          </w:rPr>
                          <w:t>97</w:t>
                        </w:r>
                        <w:r>
                          <w:rPr>
                            <w:rFonts w:ascii="Times New Roman" w:hAnsi="Times New Roman" w:cs="Times New Roman"/>
                            <w:sz w:val="14"/>
                            <w:szCs w:val="14"/>
                          </w:rPr>
                          <w:t>)</w:t>
                        </w:r>
                      </w:p>
                    </w:txbxContent>
                  </v:textbox>
                </v:rect>
                <v:rect id="Rectangle 14" o:spid="_x0000_s1026" o:spt="1" style="position:absolute;left:3863049;top:2038563;height:677823;width:2086488;v-text-anchor:middle;" fillcolor="#FFFFFF [3217]" filled="t" stroked="t" coordsize="21600,21600" o:gfxdata="UEsDBAoAAAAAAIdO4kAAAAAAAAAAAAAAAAAEAAAAZHJzL1BLAwQUAAAACACHTuJASEacVrsAAADb&#10;AAAADwAAAGRycy9kb3ducmV2LnhtbEVPPWvDMBDdA/kP4gLZGskthO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acVrsAAADb&#10;AAAADwAAAAAAAAABACAAAAAiAAAAZHJzL2Rvd25yZXYueG1sUEsBAhQAFAAAAAgAh07iQDMvBZ47&#10;AAAAOQAAABAAAAAAAAAAAQAgAAAACgEAAGRycy9zaGFwZXhtbC54bWxQSwUGAAAAAAYABgBbAQAA&#10;tAMAAAAA&#10;">
                  <v:fill on="t" focussize="0,0"/>
                  <v:stroke weight="1pt" color="#000000 [3216]" miterlimit="8" joinstyle="miter"/>
                  <v:imagedata o:title=""/>
                  <o:lock v:ext="edit" aspectratio="f"/>
                  <v:textbox>
                    <w:txbxContent>
                      <w:p w14:paraId="773E7CEF">
                        <w:pPr>
                          <w:jc w:val="center"/>
                          <w:rPr>
                            <w:rFonts w:ascii="Times New Roman" w:hAnsi="Times New Roman" w:cs="Times New Roman"/>
                            <w:sz w:val="14"/>
                            <w:szCs w:val="14"/>
                            <w:lang w:val="id-ID"/>
                          </w:rPr>
                        </w:pPr>
                        <w:r>
                          <w:rPr>
                            <w:rFonts w:ascii="Times New Roman" w:hAnsi="Times New Roman" w:cs="Times New Roman"/>
                            <w:sz w:val="14"/>
                            <w:szCs w:val="14"/>
                          </w:rPr>
                          <w:t>The reduced articles are due to a lack of alignment with the categories.</w:t>
                        </w:r>
                        <w:r>
                          <w:rPr>
                            <w:rFonts w:ascii="Times New Roman" w:hAnsi="Times New Roman" w:cs="Times New Roman"/>
                            <w:sz w:val="14"/>
                            <w:szCs w:val="14"/>
                            <w:lang w:val="id-ID"/>
                          </w:rPr>
                          <w:t xml:space="preserve"> </w:t>
                        </w:r>
                        <w:r>
                          <w:rPr>
                            <w:rFonts w:ascii="Times New Roman" w:hAnsi="Times New Roman" w:cs="Times New Roman"/>
                            <w:sz w:val="14"/>
                            <w:szCs w:val="14"/>
                          </w:rPr>
                          <w:t>(n=63)</w:t>
                        </w:r>
                      </w:p>
                    </w:txbxContent>
                  </v:textbox>
                </v:rect>
                <v:rect id="Rectangle 15" o:spid="_x0000_s1026" o:spt="1" style="position:absolute;left:0;top:2214118;height:942131;width:474980;v-text-anchor:middle;" filled="f" stroked="t" coordsize="21600,21600" o:gfxdata="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eeEaugAAANsA&#10;AAAPAAAAAAAAAAEAIAAAACIAAABkcnMvZG93bnJldi54bWxQSwECFAAUAAAACACHTuJAMy8FnjsA&#10;AAA5AAAAEAAAAAAAAAABACAAAAAJAQAAZHJzL3NoYXBleG1sLnhtbFBLBQYAAAAABgAGAFsBAACz&#10;AwAAAAA=&#10;">
                  <v:fill on="f" focussize="0,0"/>
                  <v:stroke weight="1pt" color="#203864 [3204]" miterlimit="8" joinstyle="miter"/>
                  <v:imagedata o:title=""/>
                  <o:lock v:ext="edit" aspectratio="f"/>
                  <v:textbox style="layout-flow:vertical;mso-layout-flow-alt:bottom-to-top;">
                    <w:txbxContent>
                      <w:p w14:paraId="7FCFEE45">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Filtering</w:t>
                        </w:r>
                      </w:p>
                    </w:txbxContent>
                  </v:textbox>
                </v:rect>
                <v:shape id="Straight Arrow Connector 16" o:spid="_x0000_s1026" o:spt="32" type="#_x0000_t32" style="position:absolute;left:1712018;top:3163424;height:462915;width:0;" filled="f" stroked="t" coordsize="21600,21600" o:gfxdata="UEsDBAoAAAAAAIdO4kAAAAAAAAAAAAAAAAAEAAAAZHJzL1BLAwQUAAAACACHTuJAXQSBtbwAAADb&#10;AAAADwAAAGRycy9kb3ducmV2LnhtbEVPO2vDMBDeA/kP4gLdGtktCc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EgbW8AAAA&#10;2wAAAA8AAAAAAAAAAQAgAAAAIgAAAGRycy9kb3ducmV2LnhtbFBLAQIUABQAAAAIAIdO4kAzLwWe&#10;OwAAADkAAAAQAAAAAAAAAAEAIAAAAAsBAABkcnMvc2hhcGV4bWwueG1sUEsFBgAAAAAGAAYAWwEA&#10;ALUDAAAAAA==&#10;">
                  <v:fill on="f" focussize="0,0"/>
                  <v:stroke weight="1pt" color="#000000 [3216]" miterlimit="8" joinstyle="miter" endarrow="block"/>
                  <v:imagedata o:title=""/>
                  <o:lock v:ext="edit" aspectratio="f"/>
                </v:shape>
                <v:rect id="Rectangle 17" o:spid="_x0000_s1026" o:spt="1" style="position:absolute;left:665019;top:3631010;height:688769;width:2090056;v-text-anchor:middle;" fillcolor="#FFFFFF [3217]" filled="t" stroked="t" coordsize="21600,21600" o:gfxdata="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MT/OugAAANsA&#10;AAAPAAAAAAAAAAEAIAAAACIAAABkcnMvZG93bnJldi54bWxQSwECFAAUAAAACACHTuJAMy8FnjsA&#10;AAA5AAAAEAAAAAAAAAABACAAAAAJAQAAZHJzL3NoYXBleG1sLnhtbFBLBQYAAAAABgAGAFsBAACz&#10;AwAAAAA=&#10;">
                  <v:fill on="t" focussize="0,0"/>
                  <v:stroke weight="1pt" color="#000000 [3216]" miterlimit="8" joinstyle="miter"/>
                  <v:imagedata o:title=""/>
                  <o:lock v:ext="edit" aspectratio="f"/>
                  <v:textbox>
                    <w:txbxContent>
                      <w:p w14:paraId="70F074B0">
                        <w:pPr>
                          <w:jc w:val="center"/>
                          <w:rPr>
                            <w:rFonts w:ascii="Times New Roman" w:hAnsi="Times New Roman" w:cs="Times New Roman"/>
                            <w:sz w:val="14"/>
                            <w:szCs w:val="14"/>
                            <w:lang w:val="en-US"/>
                          </w:rPr>
                        </w:pPr>
                        <w:r>
                          <w:rPr>
                            <w:rFonts w:ascii="Times New Roman" w:hAnsi="Times New Roman" w:cs="Times New Roman"/>
                            <w:sz w:val="14"/>
                            <w:szCs w:val="14"/>
                            <w:lang w:val="en-US"/>
                          </w:rPr>
                          <w:t>The eligible articles. (n=44)</w:t>
                        </w:r>
                      </w:p>
                    </w:txbxContent>
                  </v:textbox>
                </v:rect>
                <v:shape id="Straight Arrow Connector 18" o:spid="_x0000_s1026" o:spt="32" type="#_x0000_t32" style="position:absolute;left:1706592;top:4322193;height:462915;width:0;" filled="f" stroked="t" coordsize="21600,21600" o:gfxdata="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mrpZugAAANsA&#10;AAAPAAAAAAAAAAEAIAAAACIAAABkcnMvZG93bnJldi54bWxQSwECFAAUAAAACACHTuJAMy8FnjsA&#10;AAA5AAAAEAAAAAAAAAABACAAAAAJAQAAZHJzL3NoYXBleG1sLnhtbFBLBQYAAAAABgAGAFsBAACz&#10;AwAAAAA=&#10;">
                  <v:fill on="f" focussize="0,0"/>
                  <v:stroke weight="1pt" color="#000000 [3216]" miterlimit="8" joinstyle="miter" endarrow="block"/>
                  <v:imagedata o:title=""/>
                  <o:lock v:ext="edit" aspectratio="f"/>
                </v:shape>
                <v:rect id="Rectangle 19" o:spid="_x0000_s1026" o:spt="1" style="position:absolute;left:665019;top:4796969;height:666879;width:2087563;v-text-anchor:middle;" fillcolor="#FFFFFF [3217]" filled="t" stroked="t" coordsize="21600,21600" o:gfxdata="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g4nvQAA&#10;ANsAAAAPAAAAAAAAAAEAIAAAACIAAABkcnMvZG93bnJldi54bWxQSwECFAAUAAAACACHTuJAMy8F&#10;njsAAAA5AAAAEAAAAAAAAAABACAAAAAMAQAAZHJzL3NoYXBleG1sLnhtbFBLBQYAAAAABgAGAFsB&#10;AAC2AwAAAAA=&#10;">
                  <v:fill on="t" focussize="0,0"/>
                  <v:stroke weight="1pt" color="#000000 [3216]" miterlimit="8" joinstyle="miter"/>
                  <v:imagedata o:title=""/>
                  <o:lock v:ext="edit" aspectratio="f"/>
                  <v:textbox>
                    <w:txbxContent>
                      <w:p w14:paraId="40A79E28">
                        <w:pPr>
                          <w:jc w:val="center"/>
                          <w:rPr>
                            <w:rFonts w:ascii="Times New Roman" w:hAnsi="Times New Roman" w:cs="Times New Roman"/>
                            <w:sz w:val="14"/>
                            <w:szCs w:val="14"/>
                            <w:lang w:val="en-US"/>
                          </w:rPr>
                        </w:pPr>
                        <w:r>
                          <w:rPr>
                            <w:rFonts w:ascii="Times New Roman" w:hAnsi="Times New Roman" w:cs="Times New Roman"/>
                            <w:sz w:val="14"/>
                            <w:szCs w:val="14"/>
                            <w:lang w:val="en-US"/>
                          </w:rPr>
                          <w:t>The included articles. (n=41)</w:t>
                        </w:r>
                      </w:p>
                    </w:txbxContent>
                  </v:textbox>
                </v:rect>
                <v:rect id="Rectangle 20" o:spid="_x0000_s1026" o:spt="1" style="position:absolute;left:0;top:3228587;height:1090789;width:474980;v-text-anchor:middle;" filled="f" stroked="t" coordsize="21600,21600" o:gfxdata="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hOhLsAAADb&#10;AAAADwAAAAAAAAABACAAAAAiAAAAZHJzL2Rvd25yZXYueG1sUEsBAhQAFAAAAAgAh07iQDMvBZ47&#10;AAAAOQAAABAAAAAAAAAAAQAgAAAACgEAAGRycy9zaGFwZXhtbC54bWxQSwUGAAAAAAYABgBbAQAA&#10;tAMAAAAA&#10;">
                  <v:fill on="f" focussize="0,0"/>
                  <v:stroke weight="1pt" color="#203864 [3204]" miterlimit="8" joinstyle="miter"/>
                  <v:imagedata o:title=""/>
                  <o:lock v:ext="edit" aspectratio="f"/>
                  <v:textbox style="layout-flow:vertical;mso-layout-flow-alt:bottom-to-top;">
                    <w:txbxContent>
                      <w:p w14:paraId="243E7D6D">
                        <w:pPr>
                          <w:jc w:val="center"/>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sz w:val="14"/>
                            <w:szCs w:val="14"/>
                            <w14:textFill>
                              <w14:solidFill>
                                <w14:schemeClr w14:val="tx1"/>
                              </w14:solidFill>
                            </w14:textFill>
                          </w:rPr>
                          <w:t>Eligibility</w:t>
                        </w:r>
                      </w:p>
                    </w:txbxContent>
                  </v:textbox>
                </v:rect>
                <v:rect id="Rectangle 21" o:spid="_x0000_s1026" o:spt="1" style="position:absolute;left:0;top:4396032;height:1067608;width:474980;v-text-anchor:middle;" filled="f" stroked="t" coordsize="21600,21600" o:gfxdata="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4tpLsAAADb&#10;AAAADwAAAAAAAAABACAAAAAiAAAAZHJzL2Rvd25yZXYueG1sUEsBAhQAFAAAAAgAh07iQDMvBZ47&#10;AAAAOQAAABAAAAAAAAAAAQAgAAAACgEAAGRycy9zaGFwZXhtbC54bWxQSwUGAAAAAAYABgBbAQAA&#10;tAMAAAAA&#10;">
                  <v:fill on="f" focussize="0,0"/>
                  <v:stroke weight="1pt" color="#203864 [3204]" miterlimit="8" joinstyle="miter"/>
                  <v:imagedata o:title=""/>
                  <o:lock v:ext="edit" aspectratio="f"/>
                  <v:textbox style="layout-flow:vertical;mso-layout-flow-alt:bottom-to-top;">
                    <w:txbxContent>
                      <w:p w14:paraId="1EC3CF25">
                        <w:pPr>
                          <w:jc w:val="center"/>
                          <w:rPr>
                            <w:rFonts w:ascii="Times New Roman" w:hAnsi="Times New Roman" w:cs="Times New Roman"/>
                            <w:color w:val="000000" w:themeColor="text1"/>
                            <w:sz w:val="14"/>
                            <w:szCs w:val="14"/>
                            <w:lang w:val="en-US"/>
                            <w14:textFill>
                              <w14:solidFill>
                                <w14:schemeClr w14:val="tx1"/>
                              </w14:solidFill>
                            </w14:textFill>
                          </w:rPr>
                        </w:pPr>
                        <w:r>
                          <w:rPr>
                            <w:rFonts w:ascii="Times New Roman" w:hAnsi="Times New Roman" w:cs="Times New Roman"/>
                            <w:color w:val="000000" w:themeColor="text1"/>
                            <w:sz w:val="14"/>
                            <w:szCs w:val="14"/>
                            <w:lang w:val="en-US"/>
                            <w14:textFill>
                              <w14:solidFill>
                                <w14:schemeClr w14:val="tx1"/>
                              </w14:solidFill>
                            </w14:textFill>
                          </w:rPr>
                          <w:t>Included</w:t>
                        </w:r>
                      </w:p>
                    </w:txbxContent>
                  </v:textbox>
                </v:rect>
                <v:shape id="Straight Arrow Connector 24" o:spid="_x0000_s1026" o:spt="32" type="#_x0000_t32" style="position:absolute;left:1710047;top:1054207;height:0;width:2156360;" filled="f" stroked="t" coordsize="21600,21600" o:gfxdata="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NNC74A&#10;AADbAAAADwAAAAAAAAABACAAAAAiAAAAZHJzL2Rvd25yZXYueG1sUEsBAhQAFAAAAAgAh07iQDMv&#10;BZ47AAAAOQAAABAAAAAAAAAAAQAgAAAADQEAAGRycy9zaGFwZXhtbC54bWxQSwUGAAAAAAYABgBb&#10;AQAAtwMAAAAA&#10;">
                  <v:fill on="f" focussize="0,0"/>
                  <v:stroke weight="1pt" color="#000000 [3216]" miterlimit="8" joinstyle="miter" endarrow="block"/>
                  <v:imagedata o:title=""/>
                  <o:lock v:ext="edit" aspectratio="f"/>
                </v:shape>
              </v:group>
            </w:pict>
          </mc:Fallback>
        </mc:AlternateContent>
      </w:r>
    </w:p>
    <w:p w14:paraId="2587B806">
      <w:pPr>
        <w:spacing w:line="240" w:lineRule="auto"/>
        <w:ind w:firstLine="720"/>
        <w:jc w:val="both"/>
        <w:rPr>
          <w:rFonts w:hint="default" w:ascii="Garamond" w:hAnsi="Garamond" w:cs="Garamond"/>
          <w:bCs/>
          <w:sz w:val="22"/>
          <w:szCs w:val="22"/>
          <w:lang w:val="en-US"/>
        </w:rPr>
      </w:pPr>
    </w:p>
    <w:p w14:paraId="62AB7B78">
      <w:pPr>
        <w:spacing w:line="240" w:lineRule="auto"/>
        <w:ind w:firstLine="720"/>
        <w:jc w:val="both"/>
        <w:rPr>
          <w:rFonts w:hint="default" w:ascii="Garamond" w:hAnsi="Garamond" w:cs="Garamond"/>
          <w:bCs/>
          <w:sz w:val="22"/>
          <w:szCs w:val="22"/>
          <w:lang w:val="en-US"/>
        </w:rPr>
      </w:pPr>
    </w:p>
    <w:p w14:paraId="67AC9AC2">
      <w:pPr>
        <w:spacing w:line="240" w:lineRule="auto"/>
        <w:ind w:firstLine="720"/>
        <w:jc w:val="both"/>
        <w:rPr>
          <w:rFonts w:hint="default" w:ascii="Garamond" w:hAnsi="Garamond" w:cs="Garamond"/>
          <w:bCs/>
          <w:sz w:val="22"/>
          <w:szCs w:val="22"/>
          <w:lang w:val="en-US"/>
        </w:rPr>
      </w:pPr>
    </w:p>
    <w:p w14:paraId="63BA0175">
      <w:pPr>
        <w:spacing w:line="240" w:lineRule="auto"/>
        <w:ind w:firstLine="720"/>
        <w:jc w:val="both"/>
        <w:rPr>
          <w:rFonts w:hint="default" w:ascii="Garamond" w:hAnsi="Garamond" w:cs="Garamond"/>
          <w:bCs/>
          <w:sz w:val="22"/>
          <w:szCs w:val="22"/>
          <w:lang w:val="en-US"/>
        </w:rPr>
      </w:pPr>
    </w:p>
    <w:p w14:paraId="71D6BE71">
      <w:pPr>
        <w:spacing w:line="240" w:lineRule="auto"/>
        <w:ind w:firstLine="720"/>
        <w:jc w:val="both"/>
        <w:rPr>
          <w:rFonts w:hint="default" w:ascii="Garamond" w:hAnsi="Garamond" w:cs="Garamond"/>
          <w:bCs/>
          <w:sz w:val="22"/>
          <w:szCs w:val="22"/>
          <w:lang w:val="en-US"/>
        </w:rPr>
      </w:pPr>
    </w:p>
    <w:p w14:paraId="5654E631">
      <w:pPr>
        <w:spacing w:line="240" w:lineRule="auto"/>
        <w:ind w:firstLine="720"/>
        <w:jc w:val="both"/>
        <w:rPr>
          <w:rFonts w:hint="default" w:ascii="Garamond" w:hAnsi="Garamond" w:cs="Garamond"/>
          <w:bCs/>
          <w:sz w:val="22"/>
          <w:szCs w:val="22"/>
          <w:lang w:val="en-US"/>
        </w:rPr>
      </w:pPr>
      <w:r>
        <w:rPr>
          <w:rFonts w:hint="default" w:ascii="Garamond" w:hAnsi="Garamond" w:cs="Garamond"/>
          <w:sz w:val="22"/>
          <w:szCs w:val="22"/>
          <w:lang w:val="en-US" w:eastAsia="id-ID"/>
        </w:rPr>
        <mc:AlternateContent>
          <mc:Choice Requires="wps">
            <w:drawing>
              <wp:anchor distT="0" distB="0" distL="114300" distR="114300" simplePos="0" relativeHeight="251661312" behindDoc="0" locked="0" layoutInCell="1" allowOverlap="1">
                <wp:simplePos x="0" y="0"/>
                <wp:positionH relativeFrom="column">
                  <wp:posOffset>2018665</wp:posOffset>
                </wp:positionH>
                <wp:positionV relativeFrom="paragraph">
                  <wp:posOffset>230505</wp:posOffset>
                </wp:positionV>
                <wp:extent cx="1466850" cy="0"/>
                <wp:effectExtent l="0" t="0" r="0" b="0"/>
                <wp:wrapNone/>
                <wp:docPr id="25" name="Straight Arrow Connector 24"/>
                <wp:cNvGraphicFramePr/>
                <a:graphic xmlns:a="http://schemas.openxmlformats.org/drawingml/2006/main">
                  <a:graphicData uri="http://schemas.microsoft.com/office/word/2010/wordprocessingShape">
                    <wps:wsp>
                      <wps:cNvCnPr>
                        <a:cxnSpLocks noChangeShapeType="1"/>
                      </wps:cNvCnPr>
                      <wps:spPr bwMode="auto">
                        <a:xfrm>
                          <a:off x="0" y="0"/>
                          <a:ext cx="1466749" cy="0"/>
                        </a:xfrm>
                        <a:prstGeom prst="straightConnector1">
                          <a:avLst/>
                        </a:prstGeom>
                        <a:noFill/>
                        <a:ln w="12700" algn="ctr">
                          <a:solidFill>
                            <a:schemeClr val="dk1">
                              <a:lumMod val="100000"/>
                              <a:lumOff val="0"/>
                            </a:schemeClr>
                          </a:solidFill>
                          <a:miter lim="800000"/>
                          <a:tailEnd type="triangle" w="med" len="med"/>
                        </a:ln>
                      </wps:spPr>
                      <wps:bodyPr/>
                    </wps:wsp>
                  </a:graphicData>
                </a:graphic>
              </wp:anchor>
            </w:drawing>
          </mc:Choice>
          <mc:Fallback>
            <w:pict>
              <v:shape id="Straight Arrow Connector 24" o:spid="_x0000_s1026" o:spt="32" type="#_x0000_t32" style="position:absolute;left:0pt;margin-left:158.95pt;margin-top:18.15pt;height:0pt;width:115.5pt;z-index:251661312;mso-width-relative:page;mso-height-relative:page;" filled="f" stroked="t" coordsize="21600,21600" o:gfxdata="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4w4D1gAAAAkBAAAPAAAA&#10;AAAAAAEAIAAAACIAAABkcnMvZG93bnJldi54bWxQSwECFAAUAAAACACHTuJA+myvVxcCAABABAAA&#10;DgAAAAAAAAABACAAAAAlAQAAZHJzL2Uyb0RvYy54bWxQSwUGAAAAAAYABgBZAQAArgUAAAAA&#10;">
                <v:fill on="f" focussize="0,0"/>
                <v:stroke weight="1pt" color="#000000 [3216]" miterlimit="8" joinstyle="miter" endarrow="block"/>
                <v:imagedata o:title=""/>
                <o:lock v:ext="edit" aspectratio="f"/>
              </v:shape>
            </w:pict>
          </mc:Fallback>
        </mc:AlternateContent>
      </w:r>
    </w:p>
    <w:p w14:paraId="120FCA48">
      <w:pPr>
        <w:spacing w:line="240" w:lineRule="auto"/>
        <w:ind w:firstLine="720"/>
        <w:jc w:val="both"/>
        <w:rPr>
          <w:rFonts w:hint="default" w:ascii="Garamond" w:hAnsi="Garamond" w:cs="Garamond"/>
          <w:bCs/>
          <w:sz w:val="22"/>
          <w:szCs w:val="22"/>
          <w:lang w:val="en-US"/>
        </w:rPr>
      </w:pPr>
    </w:p>
    <w:p w14:paraId="02CFF5E4">
      <w:pPr>
        <w:spacing w:line="240" w:lineRule="auto"/>
        <w:ind w:firstLine="720"/>
        <w:jc w:val="both"/>
        <w:rPr>
          <w:rFonts w:hint="default" w:ascii="Garamond" w:hAnsi="Garamond" w:cs="Garamond"/>
          <w:bCs/>
          <w:sz w:val="22"/>
          <w:szCs w:val="22"/>
          <w:lang w:val="en-US"/>
        </w:rPr>
      </w:pPr>
      <w:r>
        <w:rPr>
          <w:rFonts w:hint="default" w:ascii="Garamond" w:hAnsi="Garamond" w:cs="Garamond"/>
          <w:bCs/>
          <w:sz w:val="22"/>
          <w:szCs w:val="22"/>
          <w:lang w:val="en-US" w:eastAsia="id-ID"/>
        </w:rPr>
        <mc:AlternateContent>
          <mc:Choice Requires="wps">
            <w:drawing>
              <wp:anchor distT="0" distB="0" distL="114300" distR="114300" simplePos="0" relativeHeight="251660288" behindDoc="0" locked="0" layoutInCell="1" allowOverlap="1">
                <wp:simplePos x="0" y="0"/>
                <wp:positionH relativeFrom="column">
                  <wp:posOffset>3483610</wp:posOffset>
                </wp:positionH>
                <wp:positionV relativeFrom="paragraph">
                  <wp:posOffset>112395</wp:posOffset>
                </wp:positionV>
                <wp:extent cx="1417955" cy="677545"/>
                <wp:effectExtent l="0" t="0" r="10795" b="27305"/>
                <wp:wrapNone/>
                <wp:docPr id="22" name="Rectangle 14"/>
                <wp:cNvGraphicFramePr/>
                <a:graphic xmlns:a="http://schemas.openxmlformats.org/drawingml/2006/main">
                  <a:graphicData uri="http://schemas.microsoft.com/office/word/2010/wordprocessingShape">
                    <wps:wsp>
                      <wps:cNvSpPr>
                        <a:spLocks noChangeArrowheads="1"/>
                      </wps:cNvSpPr>
                      <wps:spPr bwMode="auto">
                        <a:xfrm>
                          <a:off x="0" y="0"/>
                          <a:ext cx="1417955" cy="677545"/>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63986AB5">
                            <w:pPr>
                              <w:jc w:val="center"/>
                              <w:rPr>
                                <w:rFonts w:ascii="Times New Roman" w:hAnsi="Times New Roman" w:cs="Times New Roman"/>
                                <w:sz w:val="14"/>
                                <w:szCs w:val="14"/>
                                <w:lang w:val="id-ID"/>
                              </w:rPr>
                            </w:pPr>
                            <w:r>
                              <w:rPr>
                                <w:rFonts w:ascii="Times New Roman" w:hAnsi="Times New Roman" w:cs="Times New Roman"/>
                                <w:sz w:val="14"/>
                                <w:szCs w:val="14"/>
                              </w:rPr>
                              <w:t>The eliminated articles due to their lack of relevance to the current research.</w:t>
                            </w:r>
                            <w:r>
                              <w:rPr>
                                <w:rFonts w:ascii="Times New Roman" w:hAnsi="Times New Roman" w:cs="Times New Roman"/>
                                <w:sz w:val="14"/>
                                <w:szCs w:val="14"/>
                                <w:lang w:val="id-ID"/>
                              </w:rPr>
                              <w:t xml:space="preserve"> </w:t>
                            </w:r>
                            <w:r>
                              <w:rPr>
                                <w:rFonts w:ascii="Times New Roman" w:hAnsi="Times New Roman" w:cs="Times New Roman"/>
                                <w:sz w:val="14"/>
                                <w:szCs w:val="14"/>
                              </w:rPr>
                              <w:t>(n=53)</w:t>
                            </w:r>
                          </w:p>
                        </w:txbxContent>
                      </wps:txbx>
                      <wps:bodyPr rot="0" vert="horz" wrap="square" lIns="91440" tIns="45720" rIns="91440" bIns="45720" anchor="ctr" anchorCtr="0" upright="1">
                        <a:noAutofit/>
                      </wps:bodyPr>
                    </wps:wsp>
                  </a:graphicData>
                </a:graphic>
              </wp:anchor>
            </w:drawing>
          </mc:Choice>
          <mc:Fallback>
            <w:pict>
              <v:rect id="Rectangle 14" o:spid="_x0000_s1026" o:spt="1" style="position:absolute;left:0pt;margin-left:274.3pt;margin-top:8.85pt;height:53.35pt;width:111.65pt;z-index:251660288;v-text-anchor:middle;mso-width-relative:page;mso-height-relative:page;" fillcolor="#FFFFFF [3217]" filled="t" stroked="t" coordsize="21600,21600" o:gfxdata="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oryL1wAAAAoBAAAP&#10;AAAAAAAAAAEAIAAAACIAAABkcnMvZG93bnJldi54bWxQSwECFAAUAAAACACHTuJAOGc8KVICAAD5&#10;BAAADgAAAAAAAAABACAAAAAmAQAAZHJzL2Uyb0RvYy54bWxQSwUGAAAAAAYABgBZAQAA6gUAAAAA&#10;">
                <v:fill on="t" focussize="0,0"/>
                <v:stroke weight="1pt" color="#000000 [3216]" miterlimit="8" joinstyle="miter"/>
                <v:imagedata o:title=""/>
                <o:lock v:ext="edit" aspectratio="f"/>
                <v:textbox>
                  <w:txbxContent>
                    <w:p w14:paraId="63986AB5">
                      <w:pPr>
                        <w:jc w:val="center"/>
                        <w:rPr>
                          <w:rFonts w:ascii="Times New Roman" w:hAnsi="Times New Roman" w:cs="Times New Roman"/>
                          <w:sz w:val="14"/>
                          <w:szCs w:val="14"/>
                          <w:lang w:val="id-ID"/>
                        </w:rPr>
                      </w:pPr>
                      <w:r>
                        <w:rPr>
                          <w:rFonts w:ascii="Times New Roman" w:hAnsi="Times New Roman" w:cs="Times New Roman"/>
                          <w:sz w:val="14"/>
                          <w:szCs w:val="14"/>
                        </w:rPr>
                        <w:t>The eliminated articles due to their lack of relevance to the current research.</w:t>
                      </w:r>
                      <w:r>
                        <w:rPr>
                          <w:rFonts w:ascii="Times New Roman" w:hAnsi="Times New Roman" w:cs="Times New Roman"/>
                          <w:sz w:val="14"/>
                          <w:szCs w:val="14"/>
                          <w:lang w:val="id-ID"/>
                        </w:rPr>
                        <w:t xml:space="preserve"> </w:t>
                      </w:r>
                      <w:r>
                        <w:rPr>
                          <w:rFonts w:ascii="Times New Roman" w:hAnsi="Times New Roman" w:cs="Times New Roman"/>
                          <w:sz w:val="14"/>
                          <w:szCs w:val="14"/>
                        </w:rPr>
                        <w:t>(n=53)</w:t>
                      </w:r>
                    </w:p>
                  </w:txbxContent>
                </v:textbox>
              </v:rect>
            </w:pict>
          </mc:Fallback>
        </mc:AlternateContent>
      </w:r>
    </w:p>
    <w:p w14:paraId="7F18D51C">
      <w:pPr>
        <w:spacing w:line="240" w:lineRule="auto"/>
        <w:ind w:firstLine="720"/>
        <w:jc w:val="both"/>
        <w:rPr>
          <w:rFonts w:hint="default" w:ascii="Garamond" w:hAnsi="Garamond" w:cs="Garamond"/>
          <w:bCs/>
          <w:sz w:val="22"/>
          <w:szCs w:val="22"/>
          <w:lang w:val="en-US"/>
        </w:rPr>
      </w:pPr>
      <w:r>
        <w:rPr>
          <w:rFonts w:hint="default" w:ascii="Garamond" w:hAnsi="Garamond" w:cs="Garamond"/>
          <w:sz w:val="22"/>
          <w:szCs w:val="22"/>
          <w:lang w:val="en-US" w:eastAsia="id-ID"/>
        </w:rPr>
        <mc:AlternateContent>
          <mc:Choice Requires="wps">
            <w:drawing>
              <wp:anchor distT="0" distB="0" distL="114300" distR="114300" simplePos="0" relativeHeight="251662336" behindDoc="0" locked="0" layoutInCell="1" allowOverlap="1">
                <wp:simplePos x="0" y="0"/>
                <wp:positionH relativeFrom="column">
                  <wp:posOffset>2025650</wp:posOffset>
                </wp:positionH>
                <wp:positionV relativeFrom="paragraph">
                  <wp:posOffset>180975</wp:posOffset>
                </wp:positionV>
                <wp:extent cx="1466850" cy="0"/>
                <wp:effectExtent l="0" t="76200" r="19685" b="95250"/>
                <wp:wrapNone/>
                <wp:docPr id="26" name="Straight Arrow Connector 24"/>
                <wp:cNvGraphicFramePr/>
                <a:graphic xmlns:a="http://schemas.openxmlformats.org/drawingml/2006/main">
                  <a:graphicData uri="http://schemas.microsoft.com/office/word/2010/wordprocessingShape">
                    <wps:wsp>
                      <wps:cNvCnPr>
                        <a:cxnSpLocks noChangeShapeType="1"/>
                      </wps:cNvCnPr>
                      <wps:spPr bwMode="auto">
                        <a:xfrm>
                          <a:off x="0" y="0"/>
                          <a:ext cx="1466749" cy="0"/>
                        </a:xfrm>
                        <a:prstGeom prst="straightConnector1">
                          <a:avLst/>
                        </a:prstGeom>
                        <a:noFill/>
                        <a:ln w="12700" algn="ctr">
                          <a:solidFill>
                            <a:schemeClr val="dk1">
                              <a:lumMod val="100000"/>
                              <a:lumOff val="0"/>
                            </a:schemeClr>
                          </a:solidFill>
                          <a:miter lim="800000"/>
                          <a:tailEnd type="triangle" w="med" len="med"/>
                        </a:ln>
                      </wps:spPr>
                      <wps:bodyPr/>
                    </wps:wsp>
                  </a:graphicData>
                </a:graphic>
              </wp:anchor>
            </w:drawing>
          </mc:Choice>
          <mc:Fallback>
            <w:pict>
              <v:shape id="Straight Arrow Connector 24" o:spid="_x0000_s1026" o:spt="32" type="#_x0000_t32" style="position:absolute;left:0pt;margin-left:159.5pt;margin-top:14.25pt;height:0pt;width:115.5pt;z-index:251662336;mso-width-relative:page;mso-height-relative:page;" filled="f" stroked="t" coordsize="21600,21600" o:gfxdata="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FQSNdcAAAAJAQAADwAA&#10;AAAAAAABACAAAAAiAAAAZHJzL2Rvd25yZXYueG1sUEsBAhQAFAAAAAgAh07iQPDl/fEXAgAAQAQA&#10;AA4AAAAAAAAAAQAgAAAAJgEAAGRycy9lMm9Eb2MueG1sUEsFBgAAAAAGAAYAWQEAAK8FAAAAAA==&#10;">
                <v:fill on="f" focussize="0,0"/>
                <v:stroke weight="1pt" color="#000000 [3216]" miterlimit="8" joinstyle="miter" endarrow="block"/>
                <v:imagedata o:title=""/>
                <o:lock v:ext="edit" aspectratio="f"/>
              </v:shape>
            </w:pict>
          </mc:Fallback>
        </mc:AlternateContent>
      </w:r>
    </w:p>
    <w:p w14:paraId="76B49698">
      <w:pPr>
        <w:spacing w:line="240" w:lineRule="auto"/>
        <w:ind w:firstLine="720"/>
        <w:jc w:val="both"/>
        <w:rPr>
          <w:rFonts w:hint="default" w:ascii="Garamond" w:hAnsi="Garamond" w:cs="Garamond"/>
          <w:bCs/>
          <w:sz w:val="22"/>
          <w:szCs w:val="22"/>
          <w:lang w:val="en-US"/>
        </w:rPr>
      </w:pPr>
    </w:p>
    <w:p w14:paraId="09024CEB">
      <w:pPr>
        <w:spacing w:line="240" w:lineRule="auto"/>
        <w:ind w:firstLine="720"/>
        <w:jc w:val="both"/>
        <w:rPr>
          <w:rFonts w:hint="default" w:ascii="Garamond" w:hAnsi="Garamond" w:cs="Garamond"/>
          <w:bCs/>
          <w:sz w:val="22"/>
          <w:szCs w:val="22"/>
          <w:lang w:val="en-US"/>
        </w:rPr>
      </w:pPr>
    </w:p>
    <w:p w14:paraId="384D850D">
      <w:pPr>
        <w:spacing w:line="240" w:lineRule="auto"/>
        <w:ind w:firstLine="720"/>
        <w:jc w:val="both"/>
        <w:rPr>
          <w:rFonts w:hint="default" w:ascii="Garamond" w:hAnsi="Garamond" w:cs="Garamond"/>
          <w:bCs/>
          <w:sz w:val="22"/>
          <w:szCs w:val="22"/>
          <w:lang w:val="en-US"/>
        </w:rPr>
      </w:pPr>
      <w:r>
        <w:rPr>
          <w:rFonts w:hint="default" w:ascii="Garamond" w:hAnsi="Garamond" w:cs="Garamond"/>
          <w:bCs/>
          <w:sz w:val="22"/>
          <w:szCs w:val="22"/>
          <w:lang w:val="en-US" w:eastAsia="id-ID"/>
        </w:rPr>
        <mc:AlternateContent>
          <mc:Choice Requires="wps">
            <w:drawing>
              <wp:anchor distT="0" distB="0" distL="114300" distR="114300" simplePos="0" relativeHeight="251663360" behindDoc="0" locked="0" layoutInCell="1" allowOverlap="1">
                <wp:simplePos x="0" y="0"/>
                <wp:positionH relativeFrom="column">
                  <wp:posOffset>3488690</wp:posOffset>
                </wp:positionH>
                <wp:positionV relativeFrom="paragraph">
                  <wp:posOffset>31750</wp:posOffset>
                </wp:positionV>
                <wp:extent cx="1417955" cy="593090"/>
                <wp:effectExtent l="0" t="0" r="17145" b="16510"/>
                <wp:wrapNone/>
                <wp:docPr id="27" name="Rectangle 14"/>
                <wp:cNvGraphicFramePr/>
                <a:graphic xmlns:a="http://schemas.openxmlformats.org/drawingml/2006/main">
                  <a:graphicData uri="http://schemas.microsoft.com/office/word/2010/wordprocessingShape">
                    <wps:wsp>
                      <wps:cNvSpPr>
                        <a:spLocks noChangeArrowheads="1"/>
                      </wps:cNvSpPr>
                      <wps:spPr bwMode="auto">
                        <a:xfrm>
                          <a:off x="0" y="0"/>
                          <a:ext cx="1417955" cy="593271"/>
                        </a:xfrm>
                        <a:prstGeom prst="rect">
                          <a:avLst/>
                        </a:prstGeom>
                        <a:solidFill>
                          <a:schemeClr val="lt1">
                            <a:lumMod val="100000"/>
                            <a:lumOff val="0"/>
                          </a:schemeClr>
                        </a:solidFill>
                        <a:ln w="12700" algn="ctr">
                          <a:solidFill>
                            <a:schemeClr val="dk1">
                              <a:lumMod val="100000"/>
                              <a:lumOff val="0"/>
                            </a:schemeClr>
                          </a:solidFill>
                          <a:miter lim="800000"/>
                        </a:ln>
                      </wps:spPr>
                      <wps:txbx>
                        <w:txbxContent>
                          <w:p w14:paraId="67F5C4BC">
                            <w:pPr>
                              <w:jc w:val="center"/>
                              <w:rPr>
                                <w:rFonts w:ascii="Times New Roman" w:hAnsi="Times New Roman" w:cs="Times New Roman"/>
                                <w:sz w:val="14"/>
                                <w:szCs w:val="14"/>
                                <w:lang w:val="en-US"/>
                              </w:rPr>
                            </w:pPr>
                            <w:r>
                              <w:rPr>
                                <w:rFonts w:ascii="Times New Roman" w:hAnsi="Times New Roman" w:cs="Times New Roman"/>
                                <w:sz w:val="14"/>
                                <w:szCs w:val="14"/>
                                <w:lang w:val="en-US"/>
                              </w:rPr>
                              <w:t>The diminished articles due to no available open access. (n=3)</w:t>
                            </w:r>
                          </w:p>
                        </w:txbxContent>
                      </wps:txbx>
                      <wps:bodyPr rot="0" vert="horz" wrap="square" lIns="91440" tIns="45720" rIns="91440" bIns="45720" anchor="ctr" anchorCtr="0" upright="1">
                        <a:noAutofit/>
                      </wps:bodyPr>
                    </wps:wsp>
                  </a:graphicData>
                </a:graphic>
              </wp:anchor>
            </w:drawing>
          </mc:Choice>
          <mc:Fallback>
            <w:pict>
              <v:rect id="Rectangle 14" o:spid="_x0000_s1026" o:spt="1" style="position:absolute;left:0pt;margin-left:274.7pt;margin-top:2.5pt;height:46.7pt;width:111.65pt;z-index:251663360;v-text-anchor:middle;mso-width-relative:page;mso-height-relative:page;" fillcolor="#FFFFFF [3217]" filled="t" stroked="t" coordsize="21600,21600" o:gfxdata="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W6HdTXAAAACAEAAA8A&#10;AAAAAAAAAQAgAAAAIgAAAGRycy9kb3ducmV2LnhtbFBLAQIUABQAAAAIAIdO4kC6u5sgUQIAAPkE&#10;AAAOAAAAAAAAAAEAIAAAACYBAABkcnMvZTJvRG9jLnhtbFBLBQYAAAAABgAGAFkBAADpBQAAAAA=&#10;">
                <v:fill on="t" focussize="0,0"/>
                <v:stroke weight="1pt" color="#000000 [3216]" miterlimit="8" joinstyle="miter"/>
                <v:imagedata o:title=""/>
                <o:lock v:ext="edit" aspectratio="f"/>
                <v:textbox>
                  <w:txbxContent>
                    <w:p w14:paraId="67F5C4BC">
                      <w:pPr>
                        <w:jc w:val="center"/>
                        <w:rPr>
                          <w:rFonts w:ascii="Times New Roman" w:hAnsi="Times New Roman" w:cs="Times New Roman"/>
                          <w:sz w:val="14"/>
                          <w:szCs w:val="14"/>
                          <w:lang w:val="en-US"/>
                        </w:rPr>
                      </w:pPr>
                      <w:r>
                        <w:rPr>
                          <w:rFonts w:ascii="Times New Roman" w:hAnsi="Times New Roman" w:cs="Times New Roman"/>
                          <w:sz w:val="14"/>
                          <w:szCs w:val="14"/>
                          <w:lang w:val="en-US"/>
                        </w:rPr>
                        <w:t>The diminished articles due to no available open access. (n=3)</w:t>
                      </w:r>
                    </w:p>
                  </w:txbxContent>
                </v:textbox>
              </v:rect>
            </w:pict>
          </mc:Fallback>
        </mc:AlternateContent>
      </w:r>
    </w:p>
    <w:p w14:paraId="10F6079C">
      <w:pPr>
        <w:spacing w:line="240" w:lineRule="auto"/>
        <w:ind w:firstLine="720"/>
        <w:jc w:val="both"/>
        <w:rPr>
          <w:rFonts w:hint="default" w:ascii="Garamond" w:hAnsi="Garamond" w:cs="Garamond"/>
          <w:bCs/>
          <w:sz w:val="22"/>
          <w:szCs w:val="22"/>
          <w:lang w:val="en-US"/>
        </w:rPr>
      </w:pPr>
      <w:r>
        <w:rPr>
          <w:rFonts w:hint="default" w:ascii="Garamond" w:hAnsi="Garamond" w:cs="Garamond"/>
          <w:bCs/>
          <w:sz w:val="22"/>
          <w:szCs w:val="22"/>
          <w:lang w:val="en-US" w:eastAsia="id-ID"/>
        </w:rPr>
        <mc:AlternateContent>
          <mc:Choice Requires="wps">
            <w:drawing>
              <wp:anchor distT="0" distB="0" distL="114300" distR="114300" simplePos="0" relativeHeight="251664384" behindDoc="0" locked="0" layoutInCell="1" allowOverlap="1">
                <wp:simplePos x="0" y="0"/>
                <wp:positionH relativeFrom="column">
                  <wp:posOffset>2024380</wp:posOffset>
                </wp:positionH>
                <wp:positionV relativeFrom="paragraph">
                  <wp:posOffset>63500</wp:posOffset>
                </wp:positionV>
                <wp:extent cx="1466850" cy="0"/>
                <wp:effectExtent l="0" t="63500" r="0" b="76200"/>
                <wp:wrapNone/>
                <wp:docPr id="28" name="Straight Arrow Connector 24"/>
                <wp:cNvGraphicFramePr/>
                <a:graphic xmlns:a="http://schemas.openxmlformats.org/drawingml/2006/main">
                  <a:graphicData uri="http://schemas.microsoft.com/office/word/2010/wordprocessingShape">
                    <wps:wsp>
                      <wps:cNvCnPr>
                        <a:cxnSpLocks noChangeShapeType="1"/>
                      </wps:cNvCnPr>
                      <wps:spPr bwMode="auto">
                        <a:xfrm>
                          <a:off x="0" y="0"/>
                          <a:ext cx="1466749" cy="0"/>
                        </a:xfrm>
                        <a:prstGeom prst="straightConnector1">
                          <a:avLst/>
                        </a:prstGeom>
                        <a:noFill/>
                        <a:ln w="12700" algn="ctr">
                          <a:solidFill>
                            <a:schemeClr val="dk1">
                              <a:lumMod val="100000"/>
                              <a:lumOff val="0"/>
                            </a:schemeClr>
                          </a:solidFill>
                          <a:miter lim="800000"/>
                          <a:tailEnd type="triangle" w="med" len="med"/>
                        </a:ln>
                      </wps:spPr>
                      <wps:bodyPr/>
                    </wps:wsp>
                  </a:graphicData>
                </a:graphic>
              </wp:anchor>
            </w:drawing>
          </mc:Choice>
          <mc:Fallback>
            <w:pict>
              <v:shape id="Straight Arrow Connector 24" o:spid="_x0000_s1026" o:spt="32" type="#_x0000_t32" style="position:absolute;left:0pt;margin-left:159.4pt;margin-top:5pt;height:0pt;width:115.5pt;z-index:251664384;mso-width-relative:page;mso-height-relative:page;" filled="f" stroked="t" coordsize="21600,21600" o:gfxdata="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lsKVdUAAAAJAQAADwAAAAAA&#10;AAABACAAAAAiAAAAZHJzL2Rvd25yZXYueG1sUEsBAhQAFAAAAAgAh07iQBfFR8EWAgAAQAQAAA4A&#10;AAAAAAAAAQAgAAAAJAEAAGRycy9lMm9Eb2MueG1sUEsFBgAAAAAGAAYAWQEAAKwFAAAAAA==&#10;">
                <v:fill on="f" focussize="0,0"/>
                <v:stroke weight="1pt" color="#000000 [3216]" miterlimit="8" joinstyle="miter" endarrow="block"/>
                <v:imagedata o:title=""/>
                <o:lock v:ext="edit" aspectratio="f"/>
              </v:shape>
            </w:pict>
          </mc:Fallback>
        </mc:AlternateContent>
      </w:r>
    </w:p>
    <w:p w14:paraId="498EB4E0">
      <w:pPr>
        <w:spacing w:line="240" w:lineRule="auto"/>
        <w:ind w:firstLine="720"/>
        <w:jc w:val="both"/>
        <w:rPr>
          <w:rFonts w:hint="default" w:ascii="Garamond" w:hAnsi="Garamond" w:cs="Garamond"/>
          <w:bCs/>
          <w:sz w:val="22"/>
          <w:szCs w:val="22"/>
          <w:lang w:val="en-US"/>
        </w:rPr>
      </w:pPr>
    </w:p>
    <w:p w14:paraId="02BDE0FA">
      <w:pPr>
        <w:spacing w:line="240" w:lineRule="auto"/>
        <w:ind w:firstLine="720"/>
        <w:jc w:val="both"/>
        <w:rPr>
          <w:rFonts w:hint="default" w:ascii="Garamond" w:hAnsi="Garamond" w:cs="Garamond"/>
          <w:bCs/>
          <w:sz w:val="22"/>
          <w:szCs w:val="22"/>
          <w:lang w:val="en-US"/>
        </w:rPr>
      </w:pPr>
    </w:p>
    <w:p w14:paraId="400338A0">
      <w:pPr>
        <w:spacing w:line="240" w:lineRule="auto"/>
        <w:jc w:val="center"/>
        <w:rPr>
          <w:rFonts w:hint="default" w:ascii="Garamond" w:hAnsi="Garamond" w:cs="Garamond"/>
          <w:b/>
          <w:bCs/>
          <w:sz w:val="22"/>
          <w:szCs w:val="22"/>
          <w:lang w:val="en-US"/>
        </w:rPr>
      </w:pPr>
    </w:p>
    <w:p w14:paraId="496C8400">
      <w:pPr>
        <w:spacing w:line="240" w:lineRule="auto"/>
        <w:jc w:val="center"/>
        <w:rPr>
          <w:rFonts w:hint="default" w:ascii="Garamond" w:hAnsi="Garamond" w:cs="Garamond"/>
          <w:bCs/>
          <w:sz w:val="22"/>
          <w:szCs w:val="22"/>
          <w:lang w:val="en-US"/>
        </w:rPr>
      </w:pPr>
      <w:r>
        <w:rPr>
          <w:rFonts w:hint="default" w:ascii="Garamond" w:hAnsi="Garamond" w:cs="Garamond"/>
          <w:b/>
          <w:bCs/>
          <w:sz w:val="22"/>
          <w:szCs w:val="22"/>
          <w:lang w:val="en-US"/>
        </w:rPr>
        <w:t>Figure 2</w:t>
      </w:r>
      <w:r>
        <w:rPr>
          <w:rFonts w:hint="default" w:ascii="Garamond" w:hAnsi="Garamond" w:cs="Garamond"/>
          <w:bCs/>
          <w:sz w:val="22"/>
          <w:szCs w:val="22"/>
          <w:lang w:val="en-US"/>
        </w:rPr>
        <w:t>. PRISMA analysis chart flow</w:t>
      </w:r>
    </w:p>
    <w:p w14:paraId="6310E225">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According to Figure 2, the PRISMA analysis findings were imported from the Scopus and the Google Scholar databases. By using the categories of entrepreneurial potential of tourism villages on the Scopus database, entrepreneurial potential of tourism villages on Google Scholar, and entrepreneurial potential of tourism villages in Bantul Regency on Google Scholar, a search was conducted for the research articles published between 2015 and 2025 (10 years). The search yielded a total of 628 publications, as determined by the Publish and Perish 8 tool. However, the researchers identified 108 articles that were not categorized as research articles. The identified results come up with 160 research articles. After reducing 63 due to a lack of alignment with the categories, the articles were left with 97 ones. 53 articles were eliminated due to lack of relevance to the current research, resulting in a total of 44 eligible articles. Furthermore, 3 articles were diminished due to no available open access. The included research articles with the complete comprehensive study findings were in the final phase. The researchers acquired 41 articles with the significant values from the Scopus and the Google Scholar databases. Furthermore, those 41 research articles were converted into the RIS format from Zotero Reference Manager to be loaded in VOSviewer application.</w:t>
      </w:r>
    </w:p>
    <w:p w14:paraId="27B54E5D">
      <w:pPr>
        <w:spacing w:line="240" w:lineRule="auto"/>
        <w:rPr>
          <w:rFonts w:hint="default" w:ascii="Garamond" w:hAnsi="Garamond" w:cs="Garamond"/>
          <w:sz w:val="22"/>
          <w:szCs w:val="22"/>
          <w:lang w:val="en-US"/>
        </w:rPr>
      </w:pPr>
    </w:p>
    <w:p w14:paraId="0192BD01">
      <w:pPr>
        <w:numPr>
          <w:numId w:val="0"/>
        </w:numPr>
        <w:spacing w:line="240" w:lineRule="auto"/>
        <w:ind w:leftChars="0"/>
        <w:rPr>
          <w:rFonts w:hint="default" w:ascii="Garamond" w:hAnsi="Garamond" w:cs="Garamond"/>
          <w:b/>
          <w:bCs/>
          <w:sz w:val="22"/>
          <w:szCs w:val="22"/>
          <w:lang w:val="en-US"/>
        </w:rPr>
      </w:pPr>
      <w:r>
        <w:rPr>
          <w:rFonts w:hint="default" w:ascii="Garamond" w:hAnsi="Garamond" w:cs="Garamond"/>
          <w:b/>
          <w:bCs/>
          <w:sz w:val="22"/>
          <w:szCs w:val="22"/>
          <w:lang w:val="en-US"/>
        </w:rPr>
        <w:t>3. RESULTS AND DISCUSSION</w:t>
      </w:r>
    </w:p>
    <w:p w14:paraId="7EE13B1B">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This research come up with the VOSviewer analysis and the Systematic Literature Review. Based on the included articles by PRISMA analysis, the researchers performed an analysis and gathered a total of 41 research articles with 3 categories of entrepreneurial potential of tourism villages on the Scopus database, entrepreneurial potential of tourism villages on Google Scholar, and entrepreneurial potential of tourism villages in Bantul Regency on Google Scholar.</w:t>
      </w:r>
    </w:p>
    <w:p w14:paraId="6AFCC3F7">
      <w:pPr>
        <w:spacing w:line="240" w:lineRule="auto"/>
        <w:jc w:val="both"/>
        <w:rPr>
          <w:rFonts w:hint="default" w:ascii="Garamond" w:hAnsi="Garamond" w:cs="Garamond"/>
          <w:b/>
          <w:bCs/>
          <w:i/>
          <w:iCs/>
          <w:sz w:val="22"/>
          <w:szCs w:val="22"/>
          <w:lang w:val="en-US"/>
        </w:rPr>
      </w:pPr>
      <w:r>
        <w:rPr>
          <w:rFonts w:hint="default" w:ascii="Garamond" w:hAnsi="Garamond" w:cs="Garamond"/>
          <w:b/>
          <w:bCs/>
          <w:i/>
          <w:iCs/>
          <w:sz w:val="22"/>
          <w:szCs w:val="22"/>
          <w:lang w:val="en-US"/>
        </w:rPr>
        <w:t xml:space="preserve">VOSviewer Analysis </w:t>
      </w:r>
    </w:p>
    <w:p w14:paraId="3B9C4657">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These included articles were imported into “RIS” format to be loaded in the VOSviewer application to visualize the network, the overlay, and the density. Figure 2 illustrates the results in a network visualization.</w:t>
      </w:r>
    </w:p>
    <w:p w14:paraId="34C17876">
      <w:pPr>
        <w:spacing w:line="240" w:lineRule="auto"/>
        <w:jc w:val="center"/>
        <w:rPr>
          <w:rFonts w:hint="default" w:ascii="Garamond" w:hAnsi="Garamond" w:cs="Garamond"/>
          <w:sz w:val="22"/>
          <w:szCs w:val="22"/>
          <w:lang w:val="en-US"/>
        </w:rPr>
      </w:pPr>
      <w:r>
        <w:rPr>
          <w:rFonts w:hint="default" w:ascii="Garamond" w:hAnsi="Garamond" w:cs="Garamond"/>
          <w:sz w:val="22"/>
          <w:szCs w:val="22"/>
          <w:lang w:val="en-US"/>
        </w:rPr>
        <w:drawing>
          <wp:inline distT="0" distB="0" distL="0" distR="0">
            <wp:extent cx="5943600" cy="3937000"/>
            <wp:effectExtent l="0" t="0" r="0" b="0"/>
            <wp:docPr id="101614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42467"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7D371371">
      <w:pPr>
        <w:spacing w:line="240" w:lineRule="auto"/>
        <w:jc w:val="center"/>
        <w:rPr>
          <w:rFonts w:hint="default" w:ascii="Garamond" w:hAnsi="Garamond" w:cs="Garamond"/>
          <w:sz w:val="22"/>
          <w:szCs w:val="22"/>
          <w:lang w:val="en-US"/>
        </w:rPr>
      </w:pPr>
      <w:r>
        <w:rPr>
          <w:rFonts w:hint="default" w:ascii="Garamond" w:hAnsi="Garamond" w:cs="Garamond"/>
          <w:b/>
          <w:sz w:val="22"/>
          <w:szCs w:val="22"/>
          <w:lang w:val="en-US"/>
        </w:rPr>
        <w:t>Figure 2</w:t>
      </w:r>
      <w:r>
        <w:rPr>
          <w:rFonts w:hint="default" w:ascii="Garamond" w:hAnsi="Garamond" w:cs="Garamond"/>
          <w:sz w:val="22"/>
          <w:szCs w:val="22"/>
          <w:lang w:val="en-US"/>
        </w:rPr>
        <w:t>. The results in a network visualization form by VOSviewer</w:t>
      </w:r>
    </w:p>
    <w:p w14:paraId="4BA422CF">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VOSviewer's network visualization focuses on the research regarding the entrepreneurial potential of the tourism villages situated in Bantul Regency, Yogyakarta.  A core is present in the network structure, which is composed of a dense network of medium to large-sized nodes, including "village," "tourism," and "Bantul Regency," which acts as central hubs.  This core is encircled by a semi-peripheral layer of moderately connected nodes, including "community," "business," and "entrepreneurship." These nodes function as transitional bridges to more specialized niche areas and core concepts.  Five distinct clusters are identified by their respective colors: the Green Cluster, which represents community and development, the Red Cluster, which represents economic impact, the Blue Cluster, which represents business models and innovation, the Yellow Cluster, which represents governance and policy, and the Purple Cluster, which represents cultural and heritage tourism.  Cross-cluster integration, government-economic nexus, and capacity building metrics are among the numerous gaps identified for future research, as indicated by the outlined topology.  The cultural heritage cluster and the business innovation cluster are relatively weakly connected, which suggests that there are gaps in the development of novel entrepreneurial models that are rooted in tradition.  The necessity of concentrating on the impact of institutional frameworks on household level economics is suggested by the sparse direct connections between policy nodes and those who are concerned with the impacts on livelihoods. Furthermore, Figure 3 illustrates the results in a density visualization.</w:t>
      </w:r>
    </w:p>
    <w:p w14:paraId="7AB31902">
      <w:pPr>
        <w:spacing w:line="240" w:lineRule="auto"/>
        <w:jc w:val="center"/>
        <w:rPr>
          <w:rFonts w:hint="default" w:ascii="Garamond" w:hAnsi="Garamond" w:cs="Garamond"/>
          <w:sz w:val="22"/>
          <w:szCs w:val="22"/>
          <w:lang w:val="en-US"/>
        </w:rPr>
      </w:pPr>
      <w:r>
        <w:rPr>
          <w:rFonts w:hint="default" w:ascii="Garamond" w:hAnsi="Garamond" w:cs="Garamond"/>
          <w:sz w:val="22"/>
          <w:szCs w:val="22"/>
          <w:lang w:val="en-US"/>
        </w:rPr>
        <w:drawing>
          <wp:inline distT="0" distB="0" distL="0" distR="0">
            <wp:extent cx="5943600" cy="3937000"/>
            <wp:effectExtent l="0" t="0" r="0" b="0"/>
            <wp:docPr id="1437550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50857"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2129C492">
      <w:pPr>
        <w:spacing w:line="240" w:lineRule="auto"/>
        <w:jc w:val="center"/>
        <w:rPr>
          <w:rFonts w:hint="default" w:ascii="Garamond" w:hAnsi="Garamond" w:cs="Garamond"/>
          <w:sz w:val="22"/>
          <w:szCs w:val="22"/>
          <w:lang w:val="en-US"/>
        </w:rPr>
      </w:pPr>
      <w:r>
        <w:rPr>
          <w:rFonts w:hint="default" w:ascii="Garamond" w:hAnsi="Garamond" w:cs="Garamond"/>
          <w:b/>
          <w:sz w:val="22"/>
          <w:szCs w:val="22"/>
          <w:lang w:val="en-US"/>
        </w:rPr>
        <w:t>Figure 3</w:t>
      </w:r>
      <w:r>
        <w:rPr>
          <w:rFonts w:hint="default" w:ascii="Garamond" w:hAnsi="Garamond" w:cs="Garamond"/>
          <w:sz w:val="22"/>
          <w:szCs w:val="22"/>
          <w:lang w:val="en-US"/>
        </w:rPr>
        <w:t>. The results in an overlay visualization form by VOSviewer</w:t>
      </w:r>
    </w:p>
    <w:p w14:paraId="26C542F9">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VOSviewer overlay visualization tools track the evolution of research themes concerning the entrepreneurial potentials of tourism villages in Bantul Regency from 2021 to 2025.  The use of terms such as "village," "tourism," and "Bantul Region" is indicated by the use of greencolors, which indicates that they have been employed throughout the entire period. In deeper blues, earlier themes such as "income," "livelihood," and "tourist destination" are depicted. The result implies that the economic impact and characterization of the destination were the primary focus of the earliest studies conducted from 2021 to 2024.</w:t>
      </w:r>
    </w:p>
    <w:p w14:paraId="5842488F">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socio-developmental aspects of village tourism and community empowerment are the primary focus of research from 2022 to 2023, as evidenced by the mid-level green coloration of intermediate themes such as "community," "capacity building," and "development." From 2024 to 2025, the subsequent themes of "digitalization," "innovation," and "sustainability" emerged, as indicated by the yellow color. The economic cluster, which was initially dominant, has since cooled to a green color, indicating that the focus of discussions on economic viability has shifted to a broader developmental discourse. The community-oriented cluster transitions from green to light-yellow, demonstrating the more recent integration of participatory approaches and governance.  From the most recent preprint on the innovation and sustainability cluster, which encompasses digitalization, sustainable entrepreneurship, and value chain optimization, the most contemporary research front (2024-2025) has emerged. Understanding these temporal clusters can help scholars and policymakers align their future investigations with evolving priorities, such as ensuring that tourism intervention measures in Bantul's villages address both stale and emerging concerns. Furthermore, Figure 4 illustrates the results in a density visualization.</w:t>
      </w:r>
    </w:p>
    <w:p w14:paraId="003BCB7B">
      <w:pPr>
        <w:spacing w:line="240" w:lineRule="auto"/>
        <w:jc w:val="center"/>
        <w:rPr>
          <w:rFonts w:hint="default" w:ascii="Garamond" w:hAnsi="Garamond" w:cs="Garamond"/>
          <w:sz w:val="22"/>
          <w:szCs w:val="22"/>
          <w:lang w:val="en-US"/>
        </w:rPr>
      </w:pPr>
      <w:r>
        <w:rPr>
          <w:rFonts w:hint="default" w:ascii="Garamond" w:hAnsi="Garamond" w:cs="Garamond"/>
          <w:sz w:val="22"/>
          <w:szCs w:val="22"/>
          <w:lang w:val="en-US"/>
        </w:rPr>
        <w:drawing>
          <wp:inline distT="0" distB="0" distL="0" distR="0">
            <wp:extent cx="5943600" cy="3937000"/>
            <wp:effectExtent l="0" t="0" r="0" b="0"/>
            <wp:docPr id="551385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5030"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5AEB84CF">
      <w:pPr>
        <w:spacing w:line="240" w:lineRule="auto"/>
        <w:jc w:val="center"/>
        <w:rPr>
          <w:rFonts w:hint="default" w:ascii="Garamond" w:hAnsi="Garamond" w:cs="Garamond"/>
          <w:sz w:val="22"/>
          <w:szCs w:val="22"/>
          <w:lang w:val="en-US"/>
        </w:rPr>
      </w:pPr>
      <w:r>
        <w:rPr>
          <w:rFonts w:hint="default" w:ascii="Garamond" w:hAnsi="Garamond" w:cs="Garamond"/>
          <w:b/>
          <w:sz w:val="22"/>
          <w:szCs w:val="22"/>
          <w:lang w:val="en-US"/>
        </w:rPr>
        <w:t>Figure 3</w:t>
      </w:r>
      <w:r>
        <w:rPr>
          <w:rFonts w:hint="default" w:ascii="Garamond" w:hAnsi="Garamond" w:cs="Garamond"/>
          <w:sz w:val="22"/>
          <w:szCs w:val="22"/>
          <w:lang w:val="en-US"/>
        </w:rPr>
        <w:t>. The results in a density visualization form by VOSviewer</w:t>
      </w:r>
    </w:p>
    <w:p w14:paraId="6E38AA67">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VOSviewer density visualization is a tool that uses a heat map approach to analyze the entrepreneurial potentials of tourism villages in Bantul Regency, Yogyakarta. It transforms the network structure into a continuous density surface, with colors representing the local concentration of research terms and their interconnected relationships. The visualization reveals a central high-density core, centered around foundational terms like "village," "tourism," and "Bantul Regency." Intermediate density zones, encompassing terms like "community," "development," "entrepreneurship," and "Indonesia," appear in green. Peripheral low-density areas, containing terms with lower co-occurrence frequencies or more specialized applications, display blue coloration. Conceptual saturation analysis reveals areas of research saturation (high-density yellow regions) versus underexplored territories (blue peripheral zones). Thematic centrality assessment confirms that village tourism entrepreneurship concepts occupy the intellectual center of this research domain, with a gradual decline toward the periphery indicating decreasing conceptual integration as topics become more specialized.</w:t>
      </w:r>
    </w:p>
    <w:p w14:paraId="108620D4">
      <w:pPr>
        <w:spacing w:line="240" w:lineRule="auto"/>
        <w:jc w:val="both"/>
        <w:rPr>
          <w:rFonts w:hint="default" w:ascii="Garamond" w:hAnsi="Garamond" w:cs="Garamond"/>
          <w:b/>
          <w:bCs/>
          <w:i/>
          <w:iCs/>
          <w:sz w:val="22"/>
          <w:szCs w:val="22"/>
          <w:lang w:val="en-US"/>
        </w:rPr>
      </w:pPr>
      <w:r>
        <w:rPr>
          <w:rFonts w:hint="default" w:ascii="Garamond" w:hAnsi="Garamond" w:cs="Garamond"/>
          <w:b/>
          <w:bCs/>
          <w:i/>
          <w:iCs/>
          <w:sz w:val="22"/>
          <w:szCs w:val="22"/>
          <w:lang w:val="en-US"/>
        </w:rPr>
        <w:t>Systematic Literature Review</w:t>
      </w:r>
    </w:p>
    <w:p w14:paraId="664CFA34">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systematic literature review (SLR) aimed to explore the entrepreneurial potential of tourism villages in Bantul Regency, Yogyakarta, over a ten-year period (2015-2025). The review used Scopus and Google Scholar databases to synthesize findings from 628 publications. The 41 selected articles were exported in RIS format and imported into VOSviewer for network, overlay, and density visualizations. Thematic clustering and network findings identified core concepts such as village, tourism, and Bantul Regency. Knowledge gaps were identified, such as weak links between cultural heritage and business innovation, sparse connections between governance frameworks and livelihood outcomes, and the need for quantitative metrics on capacity-building effects. Temporal trends were identified, such as early focus on economic impact (2021-2022), mid-period shifts (2022-2023), emerging themes (2024-2025), and conceptual concentration (2024-2025). Table 2 presents the description of Systematic Literature Review of this research on the entrepreneurial potentials of tourism villages in Bantul Regency, Yogyakarta.</w:t>
      </w:r>
    </w:p>
    <w:p w14:paraId="286DF3FD">
      <w:pPr>
        <w:spacing w:line="240" w:lineRule="auto"/>
        <w:jc w:val="center"/>
        <w:rPr>
          <w:rFonts w:hint="default" w:ascii="Garamond" w:hAnsi="Garamond" w:cs="Garamond"/>
          <w:sz w:val="22"/>
          <w:szCs w:val="22"/>
          <w:lang w:val="en-US"/>
        </w:rPr>
      </w:pPr>
      <w:r>
        <w:rPr>
          <w:rFonts w:hint="default" w:ascii="Garamond" w:hAnsi="Garamond" w:cs="Garamond"/>
          <w:sz w:val="22"/>
          <w:szCs w:val="22"/>
          <w:lang w:val="en-US"/>
        </w:rPr>
        <w:t>Table 1. Systematic Literature Review of this research on the entrepreneurial potentials of tourism villages in Bantul Regency, Yogyakarta</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778"/>
        <w:gridCol w:w="7087"/>
      </w:tblGrid>
      <w:tr w14:paraId="1738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tcPr>
          <w:p w14:paraId="245248CD">
            <w:pPr>
              <w:spacing w:after="0" w:line="240" w:lineRule="auto"/>
              <w:jc w:val="both"/>
              <w:rPr>
                <w:rFonts w:hint="default" w:ascii="Garamond" w:hAnsi="Garamond" w:cs="Garamond"/>
                <w:b/>
                <w:bCs/>
                <w:kern w:val="0"/>
                <w:sz w:val="22"/>
                <w:szCs w:val="22"/>
                <w:lang w:val="en-US"/>
                <w14:ligatures w14:val="none"/>
              </w:rPr>
            </w:pPr>
            <w:r>
              <w:rPr>
                <w:rFonts w:hint="default" w:ascii="Garamond" w:hAnsi="Garamond" w:cs="Garamond"/>
                <w:b/>
                <w:bCs/>
                <w:kern w:val="0"/>
                <w:sz w:val="22"/>
                <w:szCs w:val="22"/>
                <w:lang w:val="en-US"/>
                <w14:ligatures w14:val="none"/>
              </w:rPr>
              <w:t>No</w:t>
            </w:r>
          </w:p>
        </w:tc>
        <w:tc>
          <w:tcPr>
            <w:tcW w:w="1778" w:type="dxa"/>
          </w:tcPr>
          <w:p w14:paraId="03BFAAF5">
            <w:pPr>
              <w:spacing w:after="0" w:line="240" w:lineRule="auto"/>
              <w:jc w:val="both"/>
              <w:rPr>
                <w:rFonts w:hint="default" w:ascii="Garamond" w:hAnsi="Garamond" w:cs="Garamond"/>
                <w:b/>
                <w:bCs/>
                <w:kern w:val="0"/>
                <w:sz w:val="22"/>
                <w:szCs w:val="22"/>
                <w:lang w:val="en-US"/>
                <w14:ligatures w14:val="none"/>
              </w:rPr>
            </w:pPr>
            <w:r>
              <w:rPr>
                <w:rFonts w:hint="default" w:ascii="Garamond" w:hAnsi="Garamond" w:cs="Garamond"/>
                <w:b/>
                <w:bCs/>
                <w:kern w:val="0"/>
                <w:sz w:val="22"/>
                <w:szCs w:val="22"/>
                <w:lang w:val="en-US"/>
                <w14:ligatures w14:val="none"/>
              </w:rPr>
              <w:t>Key Takeaways</w:t>
            </w:r>
          </w:p>
        </w:tc>
        <w:tc>
          <w:tcPr>
            <w:tcW w:w="7087" w:type="dxa"/>
          </w:tcPr>
          <w:p w14:paraId="6B0E1B3E">
            <w:pPr>
              <w:spacing w:after="0" w:line="240" w:lineRule="auto"/>
              <w:jc w:val="both"/>
              <w:rPr>
                <w:rFonts w:hint="default" w:ascii="Garamond" w:hAnsi="Garamond" w:cs="Garamond"/>
                <w:b/>
                <w:bCs/>
                <w:kern w:val="0"/>
                <w:sz w:val="22"/>
                <w:szCs w:val="22"/>
                <w:lang w:val="en-US"/>
                <w14:ligatures w14:val="none"/>
              </w:rPr>
            </w:pPr>
            <w:r>
              <w:rPr>
                <w:rFonts w:hint="default" w:ascii="Garamond" w:hAnsi="Garamond" w:cs="Garamond"/>
                <w:b/>
                <w:bCs/>
                <w:kern w:val="0"/>
                <w:sz w:val="22"/>
                <w:szCs w:val="22"/>
                <w:lang w:val="en-US"/>
                <w14:ligatures w14:val="none"/>
              </w:rPr>
              <w:t>Points</w:t>
            </w:r>
          </w:p>
        </w:tc>
      </w:tr>
      <w:tr w14:paraId="4CDF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tcPr>
          <w:p w14:paraId="5E4E2598">
            <w:pPr>
              <w:spacing w:after="0" w:line="240" w:lineRule="auto"/>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1.</w:t>
            </w:r>
          </w:p>
        </w:tc>
        <w:tc>
          <w:tcPr>
            <w:tcW w:w="1778" w:type="dxa"/>
          </w:tcPr>
          <w:p w14:paraId="7705235D">
            <w:pPr>
              <w:spacing w:after="0" w:line="240" w:lineRule="auto"/>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Knowledge Gaps</w:t>
            </w:r>
          </w:p>
        </w:tc>
        <w:tc>
          <w:tcPr>
            <w:tcW w:w="7087" w:type="dxa"/>
          </w:tcPr>
          <w:p w14:paraId="16295D26">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Weak links between cultural heritage and business innovation</w:t>
            </w:r>
          </w:p>
          <w:p w14:paraId="5DBCDA2A">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Sparse connections between governance frameworks and livelihood outcomes</w:t>
            </w:r>
          </w:p>
          <w:p w14:paraId="1B2A9D40">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The need for quantitative metrics on capacity-building effects</w:t>
            </w:r>
          </w:p>
        </w:tc>
      </w:tr>
      <w:tr w14:paraId="5623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tcPr>
          <w:p w14:paraId="2F9E8C9B">
            <w:pPr>
              <w:spacing w:after="0" w:line="240" w:lineRule="auto"/>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2</w:t>
            </w:r>
          </w:p>
        </w:tc>
        <w:tc>
          <w:tcPr>
            <w:tcW w:w="1778" w:type="dxa"/>
          </w:tcPr>
          <w:p w14:paraId="7084D612">
            <w:pPr>
              <w:spacing w:after="0" w:line="240" w:lineRule="auto"/>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Temporal trends</w:t>
            </w:r>
          </w:p>
        </w:tc>
        <w:tc>
          <w:tcPr>
            <w:tcW w:w="7087" w:type="dxa"/>
          </w:tcPr>
          <w:p w14:paraId="4FF82B69">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Early focus on economic impact (2021-2022)</w:t>
            </w:r>
          </w:p>
          <w:p w14:paraId="290672B2">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Mid-period shifts (2022-2023)</w:t>
            </w:r>
          </w:p>
          <w:p w14:paraId="67822F24">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Emerging themes (2024-2025)</w:t>
            </w:r>
          </w:p>
          <w:p w14:paraId="3315607C">
            <w:pPr>
              <w:pStyle w:val="30"/>
              <w:numPr>
                <w:ilvl w:val="0"/>
                <w:numId w:val="4"/>
              </w:numPr>
              <w:spacing w:after="0" w:line="240" w:lineRule="auto"/>
              <w:ind w:left="173" w:hanging="173"/>
              <w:jc w:val="both"/>
              <w:rPr>
                <w:rFonts w:hint="default" w:ascii="Garamond" w:hAnsi="Garamond" w:cs="Garamond"/>
                <w:kern w:val="0"/>
                <w:sz w:val="22"/>
                <w:szCs w:val="22"/>
                <w:lang w:val="en-US"/>
                <w14:ligatures w14:val="none"/>
              </w:rPr>
            </w:pPr>
            <w:r>
              <w:rPr>
                <w:rFonts w:hint="default" w:ascii="Garamond" w:hAnsi="Garamond" w:cs="Garamond"/>
                <w:kern w:val="0"/>
                <w:sz w:val="22"/>
                <w:szCs w:val="22"/>
                <w:lang w:val="en-US"/>
                <w14:ligatures w14:val="none"/>
              </w:rPr>
              <w:t>Conceptual concentration (2024-2025)</w:t>
            </w:r>
          </w:p>
        </w:tc>
      </w:tr>
    </w:tbl>
    <w:p w14:paraId="3014D6EC">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According to Table 2, this systematic literature review on tourism village entrepreneurship in Bantul Regency, Yogyakarta, identifies three critical knowledge gaps: Cultural Heritage-Business Innovation Disconnect, Governance-Livelihood Impact Separation, and Capacity-Building Measurement Deficit. The review also outlines four distinct evolutionary phases in the research domain: Early Economic Focus (2021-2022), Mid-Period Paradigm Shifts (2022-2023), Emerging Thematic Frontiers (2024-2025), and Conceptual Consolidation (2024-2025). The progression from economic focus to conceptual concentration demonstrates the disciplinary maturation of tourism village entrepreneurship research, evolving from descriptive economic analyses to sophisticated theoretical frameworks. Interdisciplinary integration needs are identified, particularly between cultural studies, business innovation research, and public policy analysis. The emphasis on quantitative metrics suggests the need for methodological advancement in measurement instruments and evaluation frameworks specific to rural tourism entrepreneurship contexts. This categorization provides a strategic roadmap for future research directions and highlights the achievements and limitations of current scholarly understanding in the field.</w:t>
      </w:r>
    </w:p>
    <w:p w14:paraId="3FE32FDC">
      <w:pPr>
        <w:spacing w:line="240" w:lineRule="auto"/>
        <w:ind w:firstLine="567"/>
        <w:jc w:val="both"/>
        <w:rPr>
          <w:rFonts w:hint="default" w:ascii="Garamond" w:hAnsi="Garamond" w:cs="Garamond"/>
          <w:sz w:val="22"/>
          <w:szCs w:val="22"/>
          <w:lang w:val="en-US"/>
        </w:rPr>
      </w:pPr>
    </w:p>
    <w:p w14:paraId="0B684495">
      <w:pPr>
        <w:spacing w:line="240" w:lineRule="auto"/>
        <w:rPr>
          <w:rFonts w:hint="default" w:ascii="Garamond" w:hAnsi="Garamond" w:cs="Garamond"/>
          <w:sz w:val="22"/>
          <w:szCs w:val="22"/>
          <w:lang w:val="en-US"/>
        </w:rPr>
      </w:pPr>
      <w:r>
        <w:rPr>
          <w:rFonts w:hint="default" w:ascii="Garamond" w:hAnsi="Garamond" w:cs="Garamond"/>
          <w:sz w:val="22"/>
          <w:szCs w:val="22"/>
          <w:lang w:val="en-US"/>
        </w:rPr>
        <w:t>DISCUSSION</w:t>
      </w:r>
    </w:p>
    <w:p w14:paraId="000B9ADA">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review of tourism-village entrepreneurship in Bantul Regency, Yogyakarta, indicates that there has been a mature and diverse body of research over the past decade. However, some critics argue that, despite the apparent maturity of the research, there is still a lack of practical applications that can effectively support local entrepreneurs. Additionally, the diversity of studies may not necessarily translate into actionable strategies for improving tourism and economic development in the region. Earlier research has focused on the socio-economic implications of tourism in rural areas, specifically in relation to income and livelihood opportunities. Nevertheless, the scholarship underwent a transformation in 2022-2023, with a particular emphasis on the sustainability of entrepreneurial development, equity in social power structures, and community development and empowerment. In the most recent phase (2024-2025), there is a clear emphasis on sustainability, innovation, and digitalization, which indicates a transition from descriptive research to a prescriptive and normative approach.</w:t>
      </w:r>
    </w:p>
    <w:p w14:paraId="3532F5DE">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Based on VOSviewer's network analysis, the five primary thematic clusters are as follows: community and development; economic impact; business models and innovations; governance and policy; and cultural and heritage tourism. These clusters demonstrate the field's interdisciplinary breadth; however, the tenuous connections among certain clusters indicate areas where collaborative work from various disciplines could be further developed. While the thematic clusters identified by VOSviewer highlight significant areas of focus, some critics argue that the overlapping nature of these themes can lead to confusion and dilution of specific research agendas. Additionally, the emphasis on interdisciplinary collaboration might overshadow the value of specialized study within each distinct cluster, which can yield deeper insights into particular aspects of the field. The integration of culture, business model, and policy studies would provide a more comprehensive analysis of how villages utilize intangible heritage assets to create remarkable entrepreneurial models within favorable policy frameworks.</w:t>
      </w:r>
    </w:p>
    <w:p w14:paraId="20958244">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bar chart below visually summarizes the evolution of major research themes in the study of tourism-village entrepreneurship in Bantul Regency, as discussed in the report. It highlights how academic focus shifted across three distinct periods illustrated in Figure 4.</w:t>
      </w:r>
    </w:p>
    <w:p w14:paraId="56D116C6">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drawing>
          <wp:inline distT="0" distB="0" distL="0" distR="0">
            <wp:extent cx="5943600" cy="3962400"/>
            <wp:effectExtent l="0" t="0" r="0" b="0"/>
            <wp:docPr id="1246780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8016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EA7D031">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Figure 4. Research themes evolution in tourism-village entrepreneurship in Bantul Regency by phase (Early, Mid-period, Recent)</w:t>
      </w:r>
    </w:p>
    <w:p w14:paraId="0363F526">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study of tourism-village entrepreneurship in Bantul Regency has evolved over three distinct periods. The first phase focused on economic impact, focusing on income and livelihood outcomes. The second phase shifted towards community development, emphasizing empowerment, social capital, and participatory governance. The third phase saw the rise of innovation, digitalization, and sustainability, reflecting the field's shift towards long-term viability, technology adoption, and innovative entrepreneurial approaches. This visual representation illustrates the transition from foundational economic analyses to more nuanced, future-oriented research, aligning with the findings from a systematic review and network analysis. Furthermore, Figure 5 illustrates the conceptual map.</w:t>
      </w:r>
    </w:p>
    <w:p w14:paraId="11141415">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drawing>
          <wp:inline distT="0" distB="0" distL="0" distR="0">
            <wp:extent cx="5943600" cy="3962400"/>
            <wp:effectExtent l="0" t="0" r="0" b="0"/>
            <wp:docPr id="354027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7251"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EA9EB0C">
      <w:pPr>
        <w:spacing w:line="240" w:lineRule="auto"/>
        <w:jc w:val="both"/>
        <w:rPr>
          <w:rFonts w:hint="default" w:ascii="Garamond" w:hAnsi="Garamond" w:cs="Garamond"/>
          <w:sz w:val="22"/>
          <w:szCs w:val="22"/>
          <w:lang w:val="en-US"/>
        </w:rPr>
      </w:pPr>
      <w:r>
        <w:rPr>
          <w:rFonts w:hint="default" w:ascii="Garamond" w:hAnsi="Garamond" w:cs="Garamond"/>
          <w:sz w:val="22"/>
          <w:szCs w:val="22"/>
          <w:lang w:val="en-US"/>
        </w:rPr>
        <w:t>Figure 5. Conceptual Map of Entrepreneurial Potentials of Tourism Villages Research in Bantul Regency</w:t>
      </w:r>
    </w:p>
    <w:p w14:paraId="73A14EAF">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According to Figure 5, the conceptual map illustrates the research landscape for the analysis of entrepreneurial potentials in tourism villages in Bantul Regency, Yogyakarta. The map consists of five thematic clusters: Community &amp; Development (Green), Economic Impact (Red), Business Models &amp; Innovation (Blue), Government &amp; Policy (Yellow), and Cultural &amp; Heritage Tourism (Purple). The high-density core clusters "village," "tourism," and "Bantul Regency" represent the most frequently studied concepts. The map also highlights knowledge gaps (dashed lines) between "Cultural &amp; Heritage Tourism" and "Business Models &amp; Innovation" and "Governance &amp; Policy" and outcomes in "Economic Impact" (specifically livelihoods). These lines highlight areas where the literature indicates the need for further research integration. The map provides a clear understanding of the intellectual landscape of the research field.</w:t>
      </w:r>
    </w:p>
    <w:p w14:paraId="4F6965F2">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comprehension of the tenuous connection between business innovation and cultural heritage implies that academics have not fully conceptualized or measured the implementation of innovative value-creation strategies in tradition-based tourism ventures. However, some argue that the integration of innovative practices within tradition-based tourism can enhance cultural heritage rather than diminish it. By blending modern business strategies with traditional elements, these ventures can attract a wider audience while preserving and promoting their unique cultural narratives. The absence of standardized quantitative metrics for evaluating the construction of evaluative frameworks for capacity-building in policy analysis impedes the ability to compare programs and inform policy in a systematic manner, while sparse connections between policy frameworks and governance structures are indicative of a critical gap. Provided that the methodology undergoes sufficient innovation, such as the development of culturally appropriate instruments for evaluation, frameworks for impact evaluation, and mixed-method approaches, all of these gaps can be resolved.</w:t>
      </w:r>
    </w:p>
    <w:p w14:paraId="2503F8FD">
      <w:pPr>
        <w:numPr>
          <w:ilvl w:val="0"/>
          <w:numId w:val="3"/>
        </w:numPr>
        <w:spacing w:line="240" w:lineRule="auto"/>
        <w:ind w:left="313" w:leftChars="0" w:hanging="313" w:firstLineChars="0"/>
        <w:rPr>
          <w:rFonts w:hint="default" w:ascii="Garamond" w:hAnsi="Garamond" w:cs="Garamond"/>
          <w:b/>
          <w:bCs/>
          <w:sz w:val="22"/>
          <w:szCs w:val="22"/>
          <w:lang w:val="en-US"/>
        </w:rPr>
      </w:pPr>
      <w:r>
        <w:rPr>
          <w:rFonts w:hint="default" w:ascii="Garamond" w:hAnsi="Garamond" w:cs="Garamond"/>
          <w:b/>
          <w:bCs/>
          <w:sz w:val="22"/>
          <w:szCs w:val="22"/>
          <w:lang w:val="en-US"/>
        </w:rPr>
        <w:t>CONCLUSIONS</w:t>
      </w:r>
    </w:p>
    <w:p w14:paraId="0DB43923">
      <w:pPr>
        <w:spacing w:line="240" w:lineRule="auto"/>
        <w:ind w:firstLine="567"/>
        <w:jc w:val="both"/>
        <w:rPr>
          <w:rFonts w:hint="default" w:ascii="Garamond" w:hAnsi="Garamond" w:cs="Garamond"/>
          <w:sz w:val="22"/>
          <w:szCs w:val="22"/>
          <w:lang w:val="en-US"/>
        </w:rPr>
      </w:pPr>
      <w:r>
        <w:rPr>
          <w:rFonts w:hint="default" w:ascii="Garamond" w:hAnsi="Garamond" w:cs="Garamond"/>
          <w:sz w:val="22"/>
          <w:szCs w:val="22"/>
          <w:lang w:val="en-US"/>
        </w:rPr>
        <w:t>The study examines the entrepreneurial potential of tourism villages in Bantul Regency, Yogyakarta, using a VOSviewer analysis and a systematic literature review. It reveals that these villages are crucial for rural economic and socio-cultural development, leveraging local culture, natural resources, and community participation. The study identified five major thematic clusters: Community and Development, Economic Impact, Business Models and Innovation, Governance and Policy, and Cultural and Heritage Tourism. However, it identified knowledge gaps, particularly weak linkages between cultural heritage and business innovation, governance frameworks and livelihood outcomes, and a lack of quantitative metrics for capacity-building efforts. The research calls for evidence-based, context-specific strategies to foster sustainable entrepreneurship, tailored to the unique cultural and social dynamics of each village. It recommends strengthening collaboration across thematic domains and integrating cultural assets with innovative business models and governance frameworks.</w:t>
      </w:r>
    </w:p>
    <w:p w14:paraId="721DB457">
      <w:pPr>
        <w:spacing w:line="240" w:lineRule="auto"/>
        <w:rPr>
          <w:rFonts w:hint="default" w:ascii="Garamond" w:hAnsi="Garamond" w:cs="Garamond"/>
          <w:sz w:val="22"/>
          <w:szCs w:val="22"/>
          <w:lang w:val="en-US"/>
        </w:rPr>
      </w:pPr>
    </w:p>
    <w:p w14:paraId="79633A14">
      <w:pPr>
        <w:spacing w:line="240" w:lineRule="auto"/>
        <w:rPr>
          <w:rFonts w:hint="default" w:ascii="Garamond" w:hAnsi="Garamond" w:cs="Garamond"/>
          <w:b/>
          <w:bCs/>
          <w:sz w:val="22"/>
          <w:szCs w:val="22"/>
          <w:lang w:val="en-US"/>
        </w:rPr>
      </w:pPr>
      <w:r>
        <w:rPr>
          <w:rFonts w:hint="default" w:ascii="Garamond" w:hAnsi="Garamond" w:cs="Garamond"/>
          <w:b/>
          <w:bCs/>
          <w:sz w:val="22"/>
          <w:szCs w:val="22"/>
          <w:lang w:val="en-US"/>
        </w:rPr>
        <w:t>REFERENCES</w:t>
      </w:r>
    </w:p>
    <w:p w14:paraId="7F449E88">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fldChar w:fldCharType="begin"/>
      </w:r>
      <w:r>
        <w:rPr>
          <w:rFonts w:hint="default" w:ascii="Garamond" w:hAnsi="Garamond" w:cs="Garamond"/>
          <w:sz w:val="22"/>
          <w:szCs w:val="22"/>
          <w:lang w:val="en-US"/>
        </w:rPr>
        <w:instrText xml:space="preserve"> ADDIN ZOTERO_BIBL {"uncited":[],"omitted":[],"custom":[]} CSL_BIBLIOGRAPHY </w:instrText>
      </w:r>
      <w:r>
        <w:rPr>
          <w:rFonts w:hint="default" w:ascii="Garamond" w:hAnsi="Garamond" w:cs="Garamond"/>
          <w:sz w:val="22"/>
          <w:szCs w:val="22"/>
          <w:lang w:val="en-US"/>
        </w:rPr>
        <w:fldChar w:fldCharType="separate"/>
      </w:r>
      <w:r>
        <w:rPr>
          <w:rFonts w:hint="default" w:ascii="Garamond" w:hAnsi="Garamond" w:cs="Garamond"/>
          <w:sz w:val="22"/>
          <w:szCs w:val="22"/>
          <w:lang w:val="en-US"/>
        </w:rPr>
        <w:t xml:space="preserve">Akmala Hadita, &amp; Rashid, S. (2025). Strengthening society participation on planning the development of a religious tourism village through transparency, accountability, communication and leadership. </w:t>
      </w:r>
      <w:r>
        <w:rPr>
          <w:rFonts w:hint="default" w:ascii="Garamond" w:hAnsi="Garamond" w:cs="Garamond"/>
          <w:i/>
          <w:iCs/>
          <w:sz w:val="22"/>
          <w:szCs w:val="22"/>
          <w:lang w:val="en-US"/>
        </w:rPr>
        <w:t>Journal of Nonformal Education</w:t>
      </w:r>
      <w:r>
        <w:rPr>
          <w:rFonts w:hint="default" w:ascii="Garamond" w:hAnsi="Garamond" w:cs="Garamond"/>
          <w:sz w:val="22"/>
          <w:szCs w:val="22"/>
          <w:lang w:val="en-US"/>
        </w:rPr>
        <w:t xml:space="preserve">, </w:t>
      </w:r>
      <w:r>
        <w:rPr>
          <w:rFonts w:hint="default" w:ascii="Garamond" w:hAnsi="Garamond" w:cs="Garamond"/>
          <w:i/>
          <w:iCs/>
          <w:sz w:val="22"/>
          <w:szCs w:val="22"/>
          <w:lang w:val="en-US"/>
        </w:rPr>
        <w:t>10</w:t>
      </w:r>
      <w:r>
        <w:rPr>
          <w:rFonts w:hint="default" w:ascii="Garamond" w:hAnsi="Garamond" w:cs="Garamond"/>
          <w:sz w:val="22"/>
          <w:szCs w:val="22"/>
          <w:lang w:val="en-US"/>
        </w:rPr>
        <w:t>(2), 239–250. https://doi.org/10.15294/jone.v10i2.3209</w:t>
      </w:r>
    </w:p>
    <w:p w14:paraId="0682CC1C">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Aquino, R. S., &amp; Boluk, K. A. (2025). Social entrepreneurship in tourism: A framework-based scoping review and research agenda. </w:t>
      </w:r>
      <w:r>
        <w:rPr>
          <w:rFonts w:hint="default" w:ascii="Garamond" w:hAnsi="Garamond" w:cs="Garamond"/>
          <w:i/>
          <w:iCs/>
          <w:sz w:val="22"/>
          <w:szCs w:val="22"/>
          <w:lang w:val="en-US"/>
        </w:rPr>
        <w:t>Tourism Management Perspectives</w:t>
      </w:r>
      <w:r>
        <w:rPr>
          <w:rFonts w:hint="default" w:ascii="Garamond" w:hAnsi="Garamond" w:cs="Garamond"/>
          <w:sz w:val="22"/>
          <w:szCs w:val="22"/>
          <w:lang w:val="en-US"/>
        </w:rPr>
        <w:t xml:space="preserve">, </w:t>
      </w:r>
      <w:r>
        <w:rPr>
          <w:rFonts w:hint="default" w:ascii="Garamond" w:hAnsi="Garamond" w:cs="Garamond"/>
          <w:i/>
          <w:iCs/>
          <w:sz w:val="22"/>
          <w:szCs w:val="22"/>
          <w:lang w:val="en-US"/>
        </w:rPr>
        <w:t>57</w:t>
      </w:r>
      <w:r>
        <w:rPr>
          <w:rFonts w:hint="default" w:ascii="Garamond" w:hAnsi="Garamond" w:cs="Garamond"/>
          <w:sz w:val="22"/>
          <w:szCs w:val="22"/>
          <w:lang w:val="en-US"/>
        </w:rPr>
        <w:t>, 101351. https://doi.org/10.1016/j.tmp.2025.101351</w:t>
      </w:r>
    </w:p>
    <w:p w14:paraId="62DCF5A8">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Baiocco, S., Leoni, L., &amp; Paniccia, P. M. A. (2023). Entrepreneurship for sustainable development: Co-evolutionary evidence from the tourism sector. </w:t>
      </w:r>
      <w:r>
        <w:rPr>
          <w:rFonts w:hint="default" w:ascii="Garamond" w:hAnsi="Garamond" w:cs="Garamond"/>
          <w:i/>
          <w:iCs/>
          <w:sz w:val="22"/>
          <w:szCs w:val="22"/>
          <w:lang w:val="en-US"/>
        </w:rPr>
        <w:t>Journal of Small Business and Enterprise Development</w:t>
      </w:r>
      <w:r>
        <w:rPr>
          <w:rFonts w:hint="default" w:ascii="Garamond" w:hAnsi="Garamond" w:cs="Garamond"/>
          <w:sz w:val="22"/>
          <w:szCs w:val="22"/>
          <w:lang w:val="en-US"/>
        </w:rPr>
        <w:t xml:space="preserve">, </w:t>
      </w:r>
      <w:r>
        <w:rPr>
          <w:rFonts w:hint="default" w:ascii="Garamond" w:hAnsi="Garamond" w:cs="Garamond"/>
          <w:i/>
          <w:iCs/>
          <w:sz w:val="22"/>
          <w:szCs w:val="22"/>
          <w:lang w:val="en-US"/>
        </w:rPr>
        <w:t>30</w:t>
      </w:r>
      <w:r>
        <w:rPr>
          <w:rFonts w:hint="default" w:ascii="Garamond" w:hAnsi="Garamond" w:cs="Garamond"/>
          <w:sz w:val="22"/>
          <w:szCs w:val="22"/>
          <w:lang w:val="en-US"/>
        </w:rPr>
        <w:t>(7), 1521–1546. https://doi.org/10.1108/JSBED-01-2023-0003</w:t>
      </w:r>
    </w:p>
    <w:p w14:paraId="51C923AB">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Chhabra, M., Luu, T. T., &amp; Gupta, Y. (2025). Mapping the current and future issues of tourism entrepreneurship research: A systematic review of key themes and research gaps. </w:t>
      </w:r>
      <w:r>
        <w:rPr>
          <w:rFonts w:hint="default" w:ascii="Garamond" w:hAnsi="Garamond" w:cs="Garamond"/>
          <w:i/>
          <w:iCs/>
          <w:sz w:val="22"/>
          <w:szCs w:val="22"/>
          <w:lang w:val="en-US"/>
        </w:rPr>
        <w:t>Current Issues in Tourism</w:t>
      </w:r>
      <w:r>
        <w:rPr>
          <w:rFonts w:hint="default" w:ascii="Garamond" w:hAnsi="Garamond" w:cs="Garamond"/>
          <w:sz w:val="22"/>
          <w:szCs w:val="22"/>
          <w:lang w:val="en-US"/>
        </w:rPr>
        <w:t>, 1–21. https://doi.org/10.1080/13683500.2025.2507108</w:t>
      </w:r>
    </w:p>
    <w:p w14:paraId="2C6A37B5">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Dewi, R., &amp; Yutsi, S. (2024). Community Empowerment in Tourism Management at Kampung Flory, Tridadi Village, Sleman Regency, Yogyakarta. </w:t>
      </w:r>
      <w:r>
        <w:rPr>
          <w:rFonts w:hint="default" w:ascii="Garamond" w:hAnsi="Garamond" w:cs="Garamond"/>
          <w:i/>
          <w:iCs/>
          <w:sz w:val="22"/>
          <w:szCs w:val="22"/>
          <w:lang w:val="en-US"/>
        </w:rPr>
        <w:t>Media Wisata</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https://jurnal.ampta.ac.id/index.php/MWS/article/view/675</w:t>
      </w:r>
    </w:p>
    <w:p w14:paraId="01E7D367">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Dias, Á., González-Rodríguez, M. R., &amp; Hallak, R. (2023). Nascent entrepreneurship: A critical perspective and research agenda in tourism and hospitality. </w:t>
      </w:r>
      <w:r>
        <w:rPr>
          <w:rFonts w:hint="default" w:ascii="Garamond" w:hAnsi="Garamond" w:cs="Garamond"/>
          <w:i/>
          <w:iCs/>
          <w:sz w:val="22"/>
          <w:szCs w:val="22"/>
          <w:lang w:val="en-US"/>
        </w:rPr>
        <w:t>International Journal of Contemporary Hospitality Management</w:t>
      </w:r>
      <w:r>
        <w:rPr>
          <w:rFonts w:hint="default" w:ascii="Garamond" w:hAnsi="Garamond" w:cs="Garamond"/>
          <w:sz w:val="22"/>
          <w:szCs w:val="22"/>
          <w:lang w:val="en-US"/>
        </w:rPr>
        <w:t xml:space="preserve">, </w:t>
      </w:r>
      <w:r>
        <w:rPr>
          <w:rFonts w:hint="default" w:ascii="Garamond" w:hAnsi="Garamond" w:cs="Garamond"/>
          <w:i/>
          <w:iCs/>
          <w:sz w:val="22"/>
          <w:szCs w:val="22"/>
          <w:lang w:val="en-US"/>
        </w:rPr>
        <w:t>35</w:t>
      </w:r>
      <w:r>
        <w:rPr>
          <w:rFonts w:hint="default" w:ascii="Garamond" w:hAnsi="Garamond" w:cs="Garamond"/>
          <w:sz w:val="22"/>
          <w:szCs w:val="22"/>
          <w:lang w:val="en-US"/>
        </w:rPr>
        <w:t>(7), 2527–2544. https://doi.org/10.1108/IJCHM-07-2022-0853</w:t>
      </w:r>
    </w:p>
    <w:p w14:paraId="35A5D62F">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Fajri, D. (2020). The development of Krebet tourism village in the Industry 4.0 era. </w:t>
      </w:r>
      <w:r>
        <w:rPr>
          <w:rFonts w:hint="default" w:ascii="Garamond" w:hAnsi="Garamond" w:cs="Garamond"/>
          <w:i/>
          <w:iCs/>
          <w:sz w:val="22"/>
          <w:szCs w:val="22"/>
          <w:lang w:val="en-US"/>
        </w:rPr>
        <w:t>Jurnal Pariwisata Terapan</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https://journal.ugm.ac.id/jpt/article/view/55686</w:t>
      </w:r>
    </w:p>
    <w:p w14:paraId="361692A8">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García-Lillo, F., Seva-Larrosa, P., &amp; Sánchez-García, E. (2023). What is going on in entrepreneurship research? A bibliometric and SNA analysis. </w:t>
      </w:r>
      <w:r>
        <w:rPr>
          <w:rFonts w:hint="default" w:ascii="Garamond" w:hAnsi="Garamond" w:cs="Garamond"/>
          <w:i/>
          <w:iCs/>
          <w:sz w:val="22"/>
          <w:szCs w:val="22"/>
          <w:lang w:val="en-US"/>
        </w:rPr>
        <w:t>Journal of Business Research</w:t>
      </w:r>
      <w:r>
        <w:rPr>
          <w:rFonts w:hint="default" w:ascii="Garamond" w:hAnsi="Garamond" w:cs="Garamond"/>
          <w:sz w:val="22"/>
          <w:szCs w:val="22"/>
          <w:lang w:val="en-US"/>
        </w:rPr>
        <w:t xml:space="preserve">, </w:t>
      </w:r>
      <w:r>
        <w:rPr>
          <w:rFonts w:hint="default" w:ascii="Garamond" w:hAnsi="Garamond" w:cs="Garamond"/>
          <w:i/>
          <w:iCs/>
          <w:sz w:val="22"/>
          <w:szCs w:val="22"/>
          <w:lang w:val="en-US"/>
        </w:rPr>
        <w:t>158</w:t>
      </w:r>
      <w:r>
        <w:rPr>
          <w:rFonts w:hint="default" w:ascii="Garamond" w:hAnsi="Garamond" w:cs="Garamond"/>
          <w:sz w:val="22"/>
          <w:szCs w:val="22"/>
          <w:lang w:val="en-US"/>
        </w:rPr>
        <w:t>, 113624. https://doi.org/10.1016/j.jbusres.2022.113624</w:t>
      </w:r>
    </w:p>
    <w:p w14:paraId="1B050FC0">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Halim, D. K., &amp; Ervina, E. (2021). Comparative study: Perception on sustainable tourism of urban and rural eco-villages in Bali. </w:t>
      </w:r>
      <w:r>
        <w:rPr>
          <w:rFonts w:hint="default" w:ascii="Garamond" w:hAnsi="Garamond" w:cs="Garamond"/>
          <w:i/>
          <w:iCs/>
          <w:sz w:val="22"/>
          <w:szCs w:val="22"/>
          <w:lang w:val="en-US"/>
        </w:rPr>
        <w:t>IOP Conference Series: Earth and Environmental Science</w:t>
      </w:r>
      <w:r>
        <w:rPr>
          <w:rFonts w:hint="default" w:ascii="Garamond" w:hAnsi="Garamond" w:cs="Garamond"/>
          <w:sz w:val="22"/>
          <w:szCs w:val="22"/>
          <w:lang w:val="en-US"/>
        </w:rPr>
        <w:t xml:space="preserve">, </w:t>
      </w:r>
      <w:r>
        <w:rPr>
          <w:rFonts w:hint="default" w:ascii="Garamond" w:hAnsi="Garamond" w:cs="Garamond"/>
          <w:i/>
          <w:iCs/>
          <w:sz w:val="22"/>
          <w:szCs w:val="22"/>
          <w:lang w:val="en-US"/>
        </w:rPr>
        <w:t>704</w:t>
      </w:r>
      <w:r>
        <w:rPr>
          <w:rFonts w:hint="default" w:ascii="Garamond" w:hAnsi="Garamond" w:cs="Garamond"/>
          <w:sz w:val="22"/>
          <w:szCs w:val="22"/>
          <w:lang w:val="en-US"/>
        </w:rPr>
        <w:t>(1), 012036. https://doi.org/10.1088/1755-1315/704/1/012036</w:t>
      </w:r>
    </w:p>
    <w:p w14:paraId="2C39EEA0">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Kusmantini, T., Sutiono, H. T., Hartati, A. S., Robani, A., Diantoro, A. K., &amp; Rahmadati, A. M. (2025). How do social entrepreneurship factors influence sustainable business development? The mediating role of social network. </w:t>
      </w:r>
      <w:r>
        <w:rPr>
          <w:rFonts w:hint="default" w:ascii="Garamond" w:hAnsi="Garamond" w:cs="Garamond"/>
          <w:i/>
          <w:iCs/>
          <w:sz w:val="22"/>
          <w:szCs w:val="22"/>
          <w:lang w:val="en-US"/>
        </w:rPr>
        <w:t>Asian Management and Business Review</w:t>
      </w:r>
      <w:r>
        <w:rPr>
          <w:rFonts w:hint="default" w:ascii="Garamond" w:hAnsi="Garamond" w:cs="Garamond"/>
          <w:sz w:val="22"/>
          <w:szCs w:val="22"/>
          <w:lang w:val="en-US"/>
        </w:rPr>
        <w:t>, 128–142. https://doi.org/10.20885/AMBR.vol5.iss1.art9</w:t>
      </w:r>
    </w:p>
    <w:p w14:paraId="45843A9B">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Manalu, S. A., Simatupang, T. M., &amp; Novani, S. (2024). Tourism entrepreneurship research: A mixed embeddedness approach. </w:t>
      </w:r>
      <w:r>
        <w:rPr>
          <w:rFonts w:hint="default" w:ascii="Garamond" w:hAnsi="Garamond" w:cs="Garamond"/>
          <w:i/>
          <w:iCs/>
          <w:sz w:val="22"/>
          <w:szCs w:val="22"/>
          <w:lang w:val="en-US"/>
        </w:rPr>
        <w:t>Cogent Business &amp; Management</w:t>
      </w:r>
      <w:r>
        <w:rPr>
          <w:rFonts w:hint="default" w:ascii="Garamond" w:hAnsi="Garamond" w:cs="Garamond"/>
          <w:sz w:val="22"/>
          <w:szCs w:val="22"/>
          <w:lang w:val="en-US"/>
        </w:rPr>
        <w:t xml:space="preserve">, </w:t>
      </w:r>
      <w:r>
        <w:rPr>
          <w:rFonts w:hint="default" w:ascii="Garamond" w:hAnsi="Garamond" w:cs="Garamond"/>
          <w:i/>
          <w:iCs/>
          <w:sz w:val="22"/>
          <w:szCs w:val="22"/>
          <w:lang w:val="en-US"/>
        </w:rPr>
        <w:t>11</w:t>
      </w:r>
      <w:r>
        <w:rPr>
          <w:rFonts w:hint="default" w:ascii="Garamond" w:hAnsi="Garamond" w:cs="Garamond"/>
          <w:sz w:val="22"/>
          <w:szCs w:val="22"/>
          <w:lang w:val="en-US"/>
        </w:rPr>
        <w:t>(1), 2418421. https://doi.org/10.1080/23311975.2024.2418421</w:t>
      </w:r>
    </w:p>
    <w:p w14:paraId="7CC914E9">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Nurozi, A. (2021). Design and potential of Halal tourism industry in Yogyakarta Special Region. </w:t>
      </w:r>
      <w:r>
        <w:rPr>
          <w:rFonts w:hint="default" w:ascii="Garamond" w:hAnsi="Garamond" w:cs="Garamond"/>
          <w:i/>
          <w:iCs/>
          <w:sz w:val="22"/>
          <w:szCs w:val="22"/>
          <w:lang w:val="en-US"/>
        </w:rPr>
        <w:t>Journal of Islamic Economics Lariba</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https://journal.uii.ac.id/JIELariba/article/view/21861</w:t>
      </w:r>
    </w:p>
    <w:p w14:paraId="49342F39">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Ochoa Jiménez, S., García García, A. R., Valdez Del Río, S., &amp; Jacobo Hernández, C. A. (2022). Entrepreneurship in tourism studies in the 21st century: A bibliometric study of WoS and Scopus. </w:t>
      </w:r>
      <w:r>
        <w:rPr>
          <w:rFonts w:hint="default" w:ascii="Garamond" w:hAnsi="Garamond" w:cs="Garamond"/>
          <w:i/>
          <w:iCs/>
          <w:sz w:val="22"/>
          <w:szCs w:val="22"/>
          <w:lang w:val="en-US"/>
        </w:rPr>
        <w:t>Sage Open</w:t>
      </w:r>
      <w:r>
        <w:rPr>
          <w:rFonts w:hint="default" w:ascii="Garamond" w:hAnsi="Garamond" w:cs="Garamond"/>
          <w:sz w:val="22"/>
          <w:szCs w:val="22"/>
          <w:lang w:val="en-US"/>
        </w:rPr>
        <w:t xml:space="preserve">, </w:t>
      </w:r>
      <w:r>
        <w:rPr>
          <w:rFonts w:hint="default" w:ascii="Garamond" w:hAnsi="Garamond" w:cs="Garamond"/>
          <w:i/>
          <w:iCs/>
          <w:sz w:val="22"/>
          <w:szCs w:val="22"/>
          <w:lang w:val="en-US"/>
        </w:rPr>
        <w:t>12</w:t>
      </w:r>
      <w:r>
        <w:rPr>
          <w:rFonts w:hint="default" w:ascii="Garamond" w:hAnsi="Garamond" w:cs="Garamond"/>
          <w:sz w:val="22"/>
          <w:szCs w:val="22"/>
          <w:lang w:val="en-US"/>
        </w:rPr>
        <w:t>(2), 21582440221102438. https://doi.org/10.1177/21582440221102438</w:t>
      </w:r>
    </w:p>
    <w:p w14:paraId="72046BDB">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Pambudi, S. S. I., Hakim, M. L., &amp; Lesmana, V. Y. (2022). Network governance towards development policy of Podokoyo tourism village in Pasuruan regency. </w:t>
      </w:r>
      <w:r>
        <w:rPr>
          <w:rFonts w:hint="default" w:ascii="Garamond" w:hAnsi="Garamond" w:cs="Garamond"/>
          <w:i/>
          <w:iCs/>
          <w:sz w:val="22"/>
          <w:szCs w:val="22"/>
          <w:lang w:val="en-US"/>
        </w:rPr>
        <w:t>Jurnal Perencanaan Pembangunan: The Indonesian Journal of Development Planning</w:t>
      </w:r>
      <w:r>
        <w:rPr>
          <w:rFonts w:hint="default" w:ascii="Garamond" w:hAnsi="Garamond" w:cs="Garamond"/>
          <w:sz w:val="22"/>
          <w:szCs w:val="22"/>
          <w:lang w:val="en-US"/>
        </w:rPr>
        <w:t xml:space="preserve">, </w:t>
      </w:r>
      <w:r>
        <w:rPr>
          <w:rFonts w:hint="default" w:ascii="Garamond" w:hAnsi="Garamond" w:cs="Garamond"/>
          <w:i/>
          <w:iCs/>
          <w:sz w:val="22"/>
          <w:szCs w:val="22"/>
          <w:lang w:val="en-US"/>
        </w:rPr>
        <w:t>6</w:t>
      </w:r>
      <w:r>
        <w:rPr>
          <w:rFonts w:hint="default" w:ascii="Garamond" w:hAnsi="Garamond" w:cs="Garamond"/>
          <w:sz w:val="22"/>
          <w:szCs w:val="22"/>
          <w:lang w:val="en-US"/>
        </w:rPr>
        <w:t>(2), 236–248. https://doi.org/10.36574/jpp.v6i2.339</w:t>
      </w:r>
    </w:p>
    <w:p w14:paraId="2EAA9BB5">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Poniasih, N., Rosalia, F., Muklis, M., &amp; Maryanah, T. (2022). Through village-owned business agencies, towards tough tourism village. </w:t>
      </w:r>
      <w:r>
        <w:rPr>
          <w:rFonts w:hint="default" w:ascii="Garamond" w:hAnsi="Garamond" w:cs="Garamond"/>
          <w:i/>
          <w:iCs/>
          <w:sz w:val="22"/>
          <w:szCs w:val="22"/>
          <w:lang w:val="en-US"/>
        </w:rPr>
        <w:t>Cepalo</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https://jurnal.fh.unila.ac.id/index.php/cepalo/article/view/2582</w:t>
      </w:r>
    </w:p>
    <w:p w14:paraId="62243EDA">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Rahmadi, H., &amp; Nugroho, S. P. (2022). Study of tourism travel patterns In Bantul Regency, Yogyakarta post pandemic COVID-19. </w:t>
      </w:r>
      <w:r>
        <w:rPr>
          <w:rFonts w:hint="default" w:ascii="Garamond" w:hAnsi="Garamond" w:cs="Garamond"/>
          <w:i/>
          <w:iCs/>
          <w:sz w:val="22"/>
          <w:szCs w:val="22"/>
          <w:lang w:val="en-US"/>
        </w:rPr>
        <w:t>Technium Social Sciences Journal</w:t>
      </w:r>
      <w:r>
        <w:rPr>
          <w:rFonts w:hint="default" w:ascii="Garamond" w:hAnsi="Garamond" w:cs="Garamond"/>
          <w:sz w:val="22"/>
          <w:szCs w:val="22"/>
          <w:lang w:val="en-US"/>
        </w:rPr>
        <w:t xml:space="preserve">, </w:t>
      </w:r>
      <w:r>
        <w:rPr>
          <w:rFonts w:hint="default" w:ascii="Garamond" w:hAnsi="Garamond" w:cs="Garamond"/>
          <w:i/>
          <w:iCs/>
          <w:sz w:val="22"/>
          <w:szCs w:val="22"/>
          <w:lang w:val="en-US"/>
        </w:rPr>
        <w:t>28</w:t>
      </w:r>
      <w:r>
        <w:rPr>
          <w:rFonts w:hint="default" w:ascii="Garamond" w:hAnsi="Garamond" w:cs="Garamond"/>
          <w:sz w:val="22"/>
          <w:szCs w:val="22"/>
          <w:lang w:val="en-US"/>
        </w:rPr>
        <w:t>, 607–620. https://doi.org/10.47577/tssj.v28i1.5876</w:t>
      </w:r>
    </w:p>
    <w:p w14:paraId="238C11B4">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Rahman, A., &amp; Natalia, D. (2025). Community independence as empowerment in tourism village development: A study from Batu City, East Java. </w:t>
      </w:r>
      <w:r>
        <w:rPr>
          <w:rFonts w:hint="default" w:ascii="Garamond" w:hAnsi="Garamond" w:cs="Garamond"/>
          <w:i/>
          <w:iCs/>
          <w:sz w:val="22"/>
          <w:szCs w:val="22"/>
          <w:lang w:val="en-US"/>
        </w:rPr>
        <w:t>Jurnal Pariwisata Pesona</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https://jurnal.unmer.ac.id/index.php/jpp/article/view/1-12</w:t>
      </w:r>
    </w:p>
    <w:p w14:paraId="4F8FFE6E">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Rahman, I., &amp; Hakim, L. M. (2024). Development of creative economy based on local wisdom in the era of digital transformation through inclusive education and village community empowerment in Bantul Regency, Yogyakarta. </w:t>
      </w:r>
      <w:r>
        <w:rPr>
          <w:rFonts w:hint="default" w:ascii="Garamond" w:hAnsi="Garamond" w:cs="Garamond"/>
          <w:i/>
          <w:iCs/>
          <w:sz w:val="22"/>
          <w:szCs w:val="22"/>
          <w:lang w:val="en-US"/>
        </w:rPr>
        <w:t>BASKARA : Journal of Business and Entrepreneurship</w:t>
      </w:r>
      <w:r>
        <w:rPr>
          <w:rFonts w:hint="default" w:ascii="Garamond" w:hAnsi="Garamond" w:cs="Garamond"/>
          <w:sz w:val="22"/>
          <w:szCs w:val="22"/>
          <w:lang w:val="en-US"/>
        </w:rPr>
        <w:t xml:space="preserve">, </w:t>
      </w:r>
      <w:r>
        <w:rPr>
          <w:rFonts w:hint="default" w:ascii="Garamond" w:hAnsi="Garamond" w:cs="Garamond"/>
          <w:i/>
          <w:iCs/>
          <w:sz w:val="22"/>
          <w:szCs w:val="22"/>
          <w:lang w:val="en-US"/>
        </w:rPr>
        <w:t>6</w:t>
      </w:r>
      <w:r>
        <w:rPr>
          <w:rFonts w:hint="default" w:ascii="Garamond" w:hAnsi="Garamond" w:cs="Garamond"/>
          <w:sz w:val="22"/>
          <w:szCs w:val="22"/>
          <w:lang w:val="en-US"/>
        </w:rPr>
        <w:t>(2), 213–224. https://doi.org/10.54268/baskara.v6i2.21629</w:t>
      </w:r>
    </w:p>
    <w:p w14:paraId="6220AC35">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Ramadhani, R., Suswanta, S., &amp; ... (2021). E-Marketing of village tourism development strategy (Case study in the tourist village puncak sosok). </w:t>
      </w:r>
      <w:r>
        <w:rPr>
          <w:rFonts w:hint="default" w:ascii="Garamond" w:hAnsi="Garamond" w:cs="Garamond"/>
          <w:i/>
          <w:iCs/>
          <w:sz w:val="22"/>
          <w:szCs w:val="22"/>
          <w:lang w:val="en-US"/>
        </w:rPr>
        <w:t>Journal of Robotics and …</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https://journal.umy.ac.id/index.php/jrc/article/view/8357</w:t>
      </w:r>
    </w:p>
    <w:p w14:paraId="1A7B5CD3">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Ridanpää, R. (2025). Framework for regenerative entrepreneurship in tourism: Fostering reciprocal relationships within place. </w:t>
      </w:r>
      <w:r>
        <w:rPr>
          <w:rFonts w:hint="default" w:ascii="Garamond" w:hAnsi="Garamond" w:cs="Garamond"/>
          <w:i/>
          <w:iCs/>
          <w:sz w:val="22"/>
          <w:szCs w:val="22"/>
          <w:lang w:val="en-US"/>
        </w:rPr>
        <w:t>Tourism Geographies</w:t>
      </w:r>
      <w:r>
        <w:rPr>
          <w:rFonts w:hint="default" w:ascii="Garamond" w:hAnsi="Garamond" w:cs="Garamond"/>
          <w:sz w:val="22"/>
          <w:szCs w:val="22"/>
          <w:lang w:val="en-US"/>
        </w:rPr>
        <w:t>, 1–18. https://doi.org/10.1080/14616688.2025.2535690</w:t>
      </w:r>
    </w:p>
    <w:p w14:paraId="09A4CFE4">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Saufi, A., Genadi, Y., Agusdin, A., &amp; Scott, N. (2023). The small tourism enterprise operators’ networking in dealing with the changing business environment. </w:t>
      </w:r>
      <w:r>
        <w:rPr>
          <w:rFonts w:hint="default" w:ascii="Garamond" w:hAnsi="Garamond" w:cs="Garamond"/>
          <w:i/>
          <w:iCs/>
          <w:sz w:val="22"/>
          <w:szCs w:val="22"/>
          <w:lang w:val="en-US"/>
        </w:rPr>
        <w:t>International Journal of Social Science and Business</w:t>
      </w:r>
      <w:r>
        <w:rPr>
          <w:rFonts w:hint="default" w:ascii="Garamond" w:hAnsi="Garamond" w:cs="Garamond"/>
          <w:sz w:val="22"/>
          <w:szCs w:val="22"/>
          <w:lang w:val="en-US"/>
        </w:rPr>
        <w:t xml:space="preserve">, </w:t>
      </w:r>
      <w:r>
        <w:rPr>
          <w:rFonts w:hint="default" w:ascii="Garamond" w:hAnsi="Garamond" w:cs="Garamond"/>
          <w:i/>
          <w:iCs/>
          <w:sz w:val="22"/>
          <w:szCs w:val="22"/>
          <w:lang w:val="en-US"/>
        </w:rPr>
        <w:t>7</w:t>
      </w:r>
      <w:r>
        <w:rPr>
          <w:rFonts w:hint="default" w:ascii="Garamond" w:hAnsi="Garamond" w:cs="Garamond"/>
          <w:sz w:val="22"/>
          <w:szCs w:val="22"/>
          <w:lang w:val="en-US"/>
        </w:rPr>
        <w:t>(2), 483–493. https://doi.org/10.23887/ijssb.v7i2.60161</w:t>
      </w:r>
    </w:p>
    <w:p w14:paraId="12C80B03">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Solvoll, S., Alsos, G. A., &amp; Bulanova, O. (2015). Tourism entrepreneurship – Review and future directions. </w:t>
      </w:r>
      <w:r>
        <w:rPr>
          <w:rFonts w:hint="default" w:ascii="Garamond" w:hAnsi="Garamond" w:cs="Garamond"/>
          <w:i/>
          <w:iCs/>
          <w:sz w:val="22"/>
          <w:szCs w:val="22"/>
          <w:lang w:val="en-US"/>
        </w:rPr>
        <w:t>Scandinavian Journal of Hospitality and Tourism</w:t>
      </w:r>
      <w:r>
        <w:rPr>
          <w:rFonts w:hint="default" w:ascii="Garamond" w:hAnsi="Garamond" w:cs="Garamond"/>
          <w:sz w:val="22"/>
          <w:szCs w:val="22"/>
          <w:lang w:val="en-US"/>
        </w:rPr>
        <w:t xml:space="preserve">, </w:t>
      </w:r>
      <w:r>
        <w:rPr>
          <w:rFonts w:hint="default" w:ascii="Garamond" w:hAnsi="Garamond" w:cs="Garamond"/>
          <w:i/>
          <w:iCs/>
          <w:sz w:val="22"/>
          <w:szCs w:val="22"/>
          <w:lang w:val="en-US"/>
        </w:rPr>
        <w:t>15</w:t>
      </w:r>
      <w:r>
        <w:rPr>
          <w:rFonts w:hint="default" w:ascii="Garamond" w:hAnsi="Garamond" w:cs="Garamond"/>
          <w:sz w:val="22"/>
          <w:szCs w:val="22"/>
          <w:lang w:val="en-US"/>
        </w:rPr>
        <w:t>(sup1), 120–137. https://doi.org/10.1080/15022250.2015.1065592</w:t>
      </w:r>
    </w:p>
    <w:p w14:paraId="1F5B39E0">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Suharti, L., Sirine, H., &amp; Martono, S. (2023). Developing a sustainable tourism village model: An exploratory study. </w:t>
      </w:r>
      <w:r>
        <w:rPr>
          <w:rFonts w:hint="default" w:ascii="Garamond" w:hAnsi="Garamond" w:cs="Garamond"/>
          <w:i/>
          <w:iCs/>
          <w:sz w:val="22"/>
          <w:szCs w:val="22"/>
          <w:lang w:val="en-US"/>
        </w:rPr>
        <w:t>Jurnal Manajemen …</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https://jurnalmanajemen.petra.ac.id/index.php/man/article/view/25754</w:t>
      </w:r>
    </w:p>
    <w:p w14:paraId="09C7FA4E">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Teruel-Sanchez, R., Briones-Peñalver, A. J., Bernal-Conesa, J. A., &amp; De Nieves-Nieto, C. (2025). Values of the entrepreneur as a driver of sustainable tourism entrepreneurship. </w:t>
      </w:r>
      <w:r>
        <w:rPr>
          <w:rFonts w:hint="default" w:ascii="Garamond" w:hAnsi="Garamond" w:cs="Garamond"/>
          <w:i/>
          <w:iCs/>
          <w:sz w:val="22"/>
          <w:szCs w:val="22"/>
          <w:lang w:val="en-US"/>
        </w:rPr>
        <w:t>Journal of International Entrepreneurship</w:t>
      </w:r>
      <w:r>
        <w:rPr>
          <w:rFonts w:hint="default" w:ascii="Garamond" w:hAnsi="Garamond" w:cs="Garamond"/>
          <w:sz w:val="22"/>
          <w:szCs w:val="22"/>
          <w:lang w:val="en-US"/>
        </w:rPr>
        <w:t>. https://doi.org/10.1007/s10843-025-00381-0</w:t>
      </w:r>
    </w:p>
    <w:p w14:paraId="57DA3117">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Thetsane, R. M. (2019). Local community participation in tourism development: The case of Katse villages in Lesotho. </w:t>
      </w:r>
      <w:r>
        <w:rPr>
          <w:rFonts w:hint="default" w:ascii="Garamond" w:hAnsi="Garamond" w:cs="Garamond"/>
          <w:i/>
          <w:iCs/>
          <w:sz w:val="22"/>
          <w:szCs w:val="22"/>
          <w:lang w:val="en-US"/>
        </w:rPr>
        <w:t>ATHENS JOURNAL OF TOURISM</w:t>
      </w:r>
      <w:r>
        <w:rPr>
          <w:rFonts w:hint="default" w:ascii="Garamond" w:hAnsi="Garamond" w:cs="Garamond"/>
          <w:sz w:val="22"/>
          <w:szCs w:val="22"/>
          <w:lang w:val="en-US"/>
        </w:rPr>
        <w:t xml:space="preserve">, </w:t>
      </w:r>
      <w:r>
        <w:rPr>
          <w:rFonts w:hint="default" w:ascii="Garamond" w:hAnsi="Garamond" w:cs="Garamond"/>
          <w:i/>
          <w:iCs/>
          <w:sz w:val="22"/>
          <w:szCs w:val="22"/>
          <w:lang w:val="en-US"/>
        </w:rPr>
        <w:t>6</w:t>
      </w:r>
      <w:r>
        <w:rPr>
          <w:rFonts w:hint="default" w:ascii="Garamond" w:hAnsi="Garamond" w:cs="Garamond"/>
          <w:sz w:val="22"/>
          <w:szCs w:val="22"/>
          <w:lang w:val="en-US"/>
        </w:rPr>
        <w:t>(2), 123–140. https://doi.org/10.30958/ajt.6-2-4</w:t>
      </w:r>
    </w:p>
    <w:p w14:paraId="689A2661">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Torkington, K., Eimermann, M., Ribeiro, F. P., &amp; Conceição, S. (2025). Challenges for tourism-related lifestyle migrant entrepreneurship in rural areas of the Algarve, Portugal. </w:t>
      </w:r>
      <w:r>
        <w:rPr>
          <w:rFonts w:hint="default" w:ascii="Garamond" w:hAnsi="Garamond" w:cs="Garamond"/>
          <w:i/>
          <w:iCs/>
          <w:sz w:val="22"/>
          <w:szCs w:val="22"/>
          <w:lang w:val="en-US"/>
        </w:rPr>
        <w:t>Journal of Rural Studies</w:t>
      </w:r>
      <w:r>
        <w:rPr>
          <w:rFonts w:hint="default" w:ascii="Garamond" w:hAnsi="Garamond" w:cs="Garamond"/>
          <w:sz w:val="22"/>
          <w:szCs w:val="22"/>
          <w:lang w:val="en-US"/>
        </w:rPr>
        <w:t xml:space="preserve">, </w:t>
      </w:r>
      <w:r>
        <w:rPr>
          <w:rFonts w:hint="default" w:ascii="Garamond" w:hAnsi="Garamond" w:cs="Garamond"/>
          <w:i/>
          <w:iCs/>
          <w:sz w:val="22"/>
          <w:szCs w:val="22"/>
          <w:lang w:val="en-US"/>
        </w:rPr>
        <w:t>115</w:t>
      </w:r>
      <w:r>
        <w:rPr>
          <w:rFonts w:hint="default" w:ascii="Garamond" w:hAnsi="Garamond" w:cs="Garamond"/>
          <w:sz w:val="22"/>
          <w:szCs w:val="22"/>
          <w:lang w:val="en-US"/>
        </w:rPr>
        <w:t>, 103562. https://doi.org/10.1016/j.jrurstud.2025.103562</w:t>
      </w:r>
    </w:p>
    <w:p w14:paraId="7CBF4E12">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Utami, D. D., Dhewanto, W., &amp; Lestari, Y. D. (2023). Rural tourism entrepreneurship success factors for sustainable tourism village: Evidence from Indonesia. </w:t>
      </w:r>
      <w:r>
        <w:rPr>
          <w:rFonts w:hint="default" w:ascii="Garamond" w:hAnsi="Garamond" w:cs="Garamond"/>
          <w:i/>
          <w:iCs/>
          <w:sz w:val="22"/>
          <w:szCs w:val="22"/>
          <w:lang w:val="en-US"/>
        </w:rPr>
        <w:t>Cogent Business &amp; Management</w:t>
      </w:r>
      <w:r>
        <w:rPr>
          <w:rFonts w:hint="default" w:ascii="Garamond" w:hAnsi="Garamond" w:cs="Garamond"/>
          <w:sz w:val="22"/>
          <w:szCs w:val="22"/>
          <w:lang w:val="en-US"/>
        </w:rPr>
        <w:t xml:space="preserve">, </w:t>
      </w:r>
      <w:r>
        <w:rPr>
          <w:rFonts w:hint="default" w:ascii="Garamond" w:hAnsi="Garamond" w:cs="Garamond"/>
          <w:i/>
          <w:iCs/>
          <w:sz w:val="22"/>
          <w:szCs w:val="22"/>
          <w:lang w:val="en-US"/>
        </w:rPr>
        <w:t>10</w:t>
      </w:r>
      <w:r>
        <w:rPr>
          <w:rFonts w:hint="default" w:ascii="Garamond" w:hAnsi="Garamond" w:cs="Garamond"/>
          <w:sz w:val="22"/>
          <w:szCs w:val="22"/>
          <w:lang w:val="en-US"/>
        </w:rPr>
        <w:t>(1), 2180845. https://doi.org/10.1080/23311975.2023.2180845</w:t>
      </w:r>
    </w:p>
    <w:p w14:paraId="52230BE3">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Wardani, P., NH, U. K., &amp; ... (2023). Community-based tourism optimization through institutional entrepreneurship in Sidomulyo Tourism Village. </w:t>
      </w:r>
      <w:r>
        <w:rPr>
          <w:rFonts w:hint="default" w:ascii="Garamond" w:hAnsi="Garamond" w:cs="Garamond"/>
          <w:i/>
          <w:iCs/>
          <w:sz w:val="22"/>
          <w:szCs w:val="22"/>
          <w:lang w:val="en-US"/>
        </w:rPr>
        <w:t>Journal of Enterprise and …</w:t>
      </w:r>
      <w:r>
        <w:rPr>
          <w:rFonts w:hint="default" w:ascii="Garamond" w:hAnsi="Garamond" w:cs="Garamond"/>
          <w:sz w:val="22"/>
          <w:szCs w:val="22"/>
          <w:lang w:val="en-US"/>
        </w:rPr>
        <w:t xml:space="preserve">, </w:t>
      </w:r>
      <w:r>
        <w:rPr>
          <w:rFonts w:hint="default" w:ascii="Garamond" w:hAnsi="Garamond" w:cs="Garamond"/>
          <w:i/>
          <w:iCs/>
          <w:sz w:val="22"/>
          <w:szCs w:val="22"/>
          <w:lang w:val="en-US"/>
        </w:rPr>
        <w:t>Query date: 2025-08-06 11:32:08</w:t>
      </w:r>
      <w:r>
        <w:rPr>
          <w:rFonts w:hint="default" w:ascii="Garamond" w:hAnsi="Garamond" w:cs="Garamond"/>
          <w:sz w:val="22"/>
          <w:szCs w:val="22"/>
          <w:lang w:val="en-US"/>
        </w:rPr>
        <w:t>. https://sipora.polije.ac.id/id/eprint/20230</w:t>
      </w:r>
    </w:p>
    <w:p w14:paraId="258BED57">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Widiartanto, Wahyudi, F. E., Santoso, R. S. S., &amp; Priyotomo. (2022). Role of social capital in community based ecotourism: A case of Batang district, Central Java, Indonesia. </w:t>
      </w:r>
      <w:r>
        <w:rPr>
          <w:rFonts w:hint="default" w:ascii="Garamond" w:hAnsi="Garamond" w:cs="Garamond"/>
          <w:i/>
          <w:iCs/>
          <w:sz w:val="22"/>
          <w:szCs w:val="22"/>
          <w:lang w:val="en-US"/>
        </w:rPr>
        <w:t>Research Horizon</w:t>
      </w:r>
      <w:r>
        <w:rPr>
          <w:rFonts w:hint="default" w:ascii="Garamond" w:hAnsi="Garamond" w:cs="Garamond"/>
          <w:sz w:val="22"/>
          <w:szCs w:val="22"/>
          <w:lang w:val="en-US"/>
        </w:rPr>
        <w:t xml:space="preserve">, </w:t>
      </w:r>
      <w:r>
        <w:rPr>
          <w:rFonts w:hint="default" w:ascii="Garamond" w:hAnsi="Garamond" w:cs="Garamond"/>
          <w:i/>
          <w:iCs/>
          <w:sz w:val="22"/>
          <w:szCs w:val="22"/>
          <w:lang w:val="en-US"/>
        </w:rPr>
        <w:t>2</w:t>
      </w:r>
      <w:r>
        <w:rPr>
          <w:rFonts w:hint="default" w:ascii="Garamond" w:hAnsi="Garamond" w:cs="Garamond"/>
          <w:sz w:val="22"/>
          <w:szCs w:val="22"/>
          <w:lang w:val="en-US"/>
        </w:rPr>
        <w:t>(5), 511–531. https://doi.org/10.54518/rh.2.5.2022.511-531</w:t>
      </w:r>
    </w:p>
    <w:p w14:paraId="041CEF56">
      <w:pPr>
        <w:pStyle w:val="35"/>
        <w:spacing w:line="240" w:lineRule="auto"/>
        <w:rPr>
          <w:rFonts w:hint="default" w:ascii="Garamond" w:hAnsi="Garamond" w:cs="Garamond"/>
          <w:sz w:val="22"/>
          <w:szCs w:val="22"/>
          <w:lang w:val="en-US"/>
        </w:rPr>
      </w:pPr>
      <w:r>
        <w:rPr>
          <w:rFonts w:hint="default" w:ascii="Garamond" w:hAnsi="Garamond" w:cs="Garamond"/>
          <w:sz w:val="22"/>
          <w:szCs w:val="22"/>
          <w:lang w:val="en-US"/>
        </w:rPr>
        <w:t xml:space="preserve">Wijayanti, A., &amp; Dewi, I. (2016). Analysis of the four pillars of tourism development planning in the tourism areas of Kretek, Bantul, Yogyakarta, Indonesia. </w:t>
      </w:r>
      <w:r>
        <w:rPr>
          <w:rFonts w:hint="default" w:ascii="Garamond" w:hAnsi="Garamond" w:cs="Garamond"/>
          <w:i/>
          <w:iCs/>
          <w:sz w:val="22"/>
          <w:szCs w:val="22"/>
          <w:lang w:val="en-US"/>
        </w:rPr>
        <w:t>Proceedings of the Asia Tourism Forum. 2016 - the 12th Biennial Conference of Hospitality and Tourism Industry in Asia</w:t>
      </w:r>
      <w:r>
        <w:rPr>
          <w:rFonts w:hint="default" w:ascii="Garamond" w:hAnsi="Garamond" w:cs="Garamond"/>
          <w:sz w:val="22"/>
          <w:szCs w:val="22"/>
          <w:lang w:val="en-US"/>
        </w:rPr>
        <w:t>. Asia Tourism Forum 2016 - the 12th Biennial Conference of Hospitality and Tourism Industry in Asia, Bandung, Indonesia. https://doi.org/10.2991/atf-16.2016.24</w:t>
      </w:r>
    </w:p>
    <w:p w14:paraId="45B0EA39">
      <w:pPr>
        <w:spacing w:line="240" w:lineRule="auto"/>
        <w:rPr>
          <w:rFonts w:hint="default" w:ascii="Garamond" w:hAnsi="Garamond" w:cs="Garamond"/>
          <w:sz w:val="22"/>
          <w:szCs w:val="22"/>
          <w:lang w:val="en-US"/>
        </w:rPr>
      </w:pPr>
      <w:r>
        <w:rPr>
          <w:rFonts w:hint="default" w:ascii="Garamond" w:hAnsi="Garamond" w:cs="Garamond"/>
          <w:sz w:val="22"/>
          <w:szCs w:val="22"/>
          <w:lang w:val="en-US"/>
        </w:rPr>
        <w:fldChar w:fldCharType="end"/>
      </w:r>
    </w:p>
    <w:p w14:paraId="12BD0606">
      <w:pPr>
        <w:spacing w:line="240" w:lineRule="auto"/>
        <w:rPr>
          <w:rFonts w:hint="default" w:ascii="Garamond" w:hAnsi="Garamond" w:cs="Garamond"/>
          <w:sz w:val="22"/>
          <w:szCs w:val="22"/>
          <w:lang w:val="en-US"/>
        </w:rPr>
      </w:pP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Garamond">
    <w:panose1 w:val="02020404030301010803"/>
    <w:charset w:val="00"/>
    <w:family w:val="auto"/>
    <w:pitch w:val="default"/>
    <w:sig w:usb0="00000287" w:usb1="00000000" w:usb2="00000000" w:usb3="00000000" w:csb0="0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351A76"/>
    <w:multiLevelType w:val="multilevel"/>
    <w:tmpl w:val="1E351A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29C25FF"/>
    <w:multiLevelType w:val="multilevel"/>
    <w:tmpl w:val="429C25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94A303E"/>
    <w:multiLevelType w:val="singleLevel"/>
    <w:tmpl w:val="594A303E"/>
    <w:lvl w:ilvl="0" w:tentative="0">
      <w:start w:val="1"/>
      <w:numFmt w:val="decimal"/>
      <w:suff w:val="space"/>
      <w:lvlText w:val="%1."/>
      <w:lvlJc w:val="left"/>
    </w:lvl>
  </w:abstractNum>
  <w:abstractNum w:abstractNumId="3">
    <w:nsid w:val="798940C9"/>
    <w:multiLevelType w:val="multilevel"/>
    <w:tmpl w:val="798940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12"/>
    <w:rsid w:val="000618CC"/>
    <w:rsid w:val="000722D2"/>
    <w:rsid w:val="001357B5"/>
    <w:rsid w:val="00142E9E"/>
    <w:rsid w:val="00190168"/>
    <w:rsid w:val="001B4098"/>
    <w:rsid w:val="0021521A"/>
    <w:rsid w:val="0023339F"/>
    <w:rsid w:val="003B2B10"/>
    <w:rsid w:val="003F0752"/>
    <w:rsid w:val="00421F81"/>
    <w:rsid w:val="00497FD4"/>
    <w:rsid w:val="00562B12"/>
    <w:rsid w:val="005632BA"/>
    <w:rsid w:val="005833FB"/>
    <w:rsid w:val="0059657D"/>
    <w:rsid w:val="005A280F"/>
    <w:rsid w:val="00704353"/>
    <w:rsid w:val="007540EE"/>
    <w:rsid w:val="00763686"/>
    <w:rsid w:val="007E02B1"/>
    <w:rsid w:val="00806636"/>
    <w:rsid w:val="008B44E2"/>
    <w:rsid w:val="00902EFE"/>
    <w:rsid w:val="00946837"/>
    <w:rsid w:val="00964746"/>
    <w:rsid w:val="00A40CA3"/>
    <w:rsid w:val="00A821AB"/>
    <w:rsid w:val="00B176F7"/>
    <w:rsid w:val="00C072A8"/>
    <w:rsid w:val="00C26702"/>
    <w:rsid w:val="00C508FC"/>
    <w:rsid w:val="00D36495"/>
    <w:rsid w:val="00D86EE1"/>
    <w:rsid w:val="00FE1DB1"/>
    <w:rsid w:val="140F148F"/>
    <w:rsid w:val="21457AA6"/>
    <w:rsid w:val="3AF359B1"/>
    <w:rsid w:val="561D5ED7"/>
    <w:rsid w:val="5993143C"/>
    <w:rsid w:val="6E0E082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zh-CN" w:eastAsia="en-US" w:bidi="ar-SA"/>
      <w14:ligatures w14:val="standardContextual"/>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semiHidden/>
    <w:unhideWhenUsed/>
    <w:uiPriority w:val="99"/>
    <w:rPr>
      <w:color w:val="0000FF"/>
      <w:u w:val="single"/>
    </w:rPr>
  </w:style>
  <w:style w:type="paragraph" w:styleId="14">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5">
    <w:name w:val="Table Grid"/>
    <w:basedOn w:val="12"/>
    <w:qFormat/>
    <w:uiPriority w:val="39"/>
    <w:pPr>
      <w:spacing w:after="0" w:line="240" w:lineRule="auto"/>
    </w:pPr>
    <w:rPr>
      <w:kern w:val="0"/>
      <w:sz w:val="22"/>
      <w:szCs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8">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0">
    <w:name w:val="Heading 4 Char"/>
    <w:basedOn w:val="11"/>
    <w:link w:val="5"/>
    <w:semiHidden/>
    <w:qFormat/>
    <w:uiPriority w:val="9"/>
    <w:rPr>
      <w:rFonts w:eastAsiaTheme="majorEastAsia" w:cstheme="majorBidi"/>
      <w:i/>
      <w:iCs/>
      <w:color w:val="2F5597" w:themeColor="accent1" w:themeShade="BF"/>
    </w:rPr>
  </w:style>
  <w:style w:type="character" w:customStyle="1" w:styleId="21">
    <w:name w:val="Heading 5 Char"/>
    <w:basedOn w:val="11"/>
    <w:link w:val="6"/>
    <w:semiHidden/>
    <w:qFormat/>
    <w:uiPriority w:val="9"/>
    <w:rPr>
      <w:rFonts w:eastAsiaTheme="majorEastAsia" w:cstheme="majorBidi"/>
      <w:color w:val="2F5597" w:themeColor="accent1" w:themeShade="BF"/>
    </w:rPr>
  </w:style>
  <w:style w:type="character" w:customStyle="1" w:styleId="22">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qFormat/>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Intense Quote Char"/>
    <w:basedOn w:val="11"/>
    <w:link w:val="32"/>
    <w:qFormat/>
    <w:uiPriority w:val="30"/>
    <w:rPr>
      <w:i/>
      <w:iCs/>
      <w:color w:val="2F5597" w:themeColor="accent1" w:themeShade="BF"/>
    </w:rPr>
  </w:style>
  <w:style w:type="character" w:customStyle="1" w:styleId="34">
    <w:name w:val="Intense Reference"/>
    <w:basedOn w:val="11"/>
    <w:qFormat/>
    <w:uiPriority w:val="32"/>
    <w:rPr>
      <w:b/>
      <w:bCs/>
      <w:smallCaps/>
      <w:color w:val="2F5597" w:themeColor="accent1" w:themeShade="BF"/>
      <w:spacing w:val="5"/>
    </w:rPr>
  </w:style>
  <w:style w:type="paragraph" w:customStyle="1" w:styleId="35">
    <w:name w:val="Bibliography"/>
    <w:basedOn w:val="1"/>
    <w:next w:val="1"/>
    <w:unhideWhenUsed/>
    <w:qFormat/>
    <w:uiPriority w:val="37"/>
    <w:pPr>
      <w:spacing w:after="0" w:line="480" w:lineRule="auto"/>
      <w:ind w:left="720" w:hanging="7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hyperlink" Target="https://orcid.org/my-orcid?orcid=0009-0002-1791-7475%26justRegistered=true" TargetMode="Externa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14199</Words>
  <Characters>80936</Characters>
  <Lines>674</Lines>
  <Paragraphs>189</Paragraphs>
  <TotalTime>77</TotalTime>
  <ScaleCrop>false</ScaleCrop>
  <LinksUpToDate>false</LinksUpToDate>
  <CharactersWithSpaces>94946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2025-08-06T08:48:00Z</dcterms:created>
  <dc:creator>Ibnu Mohamad</dc:creator>
  <cp:lastModifiedBy>ajie wicaksono</cp:lastModifiedBy>
  <dcterms:modified xsi:type="dcterms:W3CDTF">2025-09-16T08:16:46Z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id="3TzJzP4h"/&gt;&lt;style id="http://www.zotero.org/styles/apa" locale="en-US" hasBibliography="1" bibliographyStyleHasBeenSet="1"/&gt;&lt;prefs&gt;&lt;pref name="fieldType" value="Field"/&gt;&lt;/prefs&gt;&lt;/data&gt;</vt:lpwstr>
  </property>
  <property fmtid="{D5CDD505-2E9C-101B-9397-08002B2CF9AE}" pid="3" name="ZOTERO_PREF_2">
    <vt:lpwstr/>
  </property>
  <property fmtid="{D5CDD505-2E9C-101B-9397-08002B2CF9AE}" pid="4" name="KSOProductBuildVer">
    <vt:lpwstr>1033-12.2.0.22549</vt:lpwstr>
  </property>
  <property fmtid="{D5CDD505-2E9C-101B-9397-08002B2CF9AE}" pid="5" name="ICV">
    <vt:lpwstr>52628120D2D44B6A9567CEC0D47F101F_12</vt:lpwstr>
  </property>
</Properties>
</file>